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10" w:lineRule="exact"/>
        <w:rPr>
          <w:sz w:val="24"/>
          <w:szCs w:val="24"/>
          <w:color w:val="auto"/>
        </w:rPr>
      </w:pPr>
    </w:p>
    <w:p>
      <w:pPr>
        <w:jc w:val="center"/>
        <w:ind w:right="-3"/>
        <w:spacing w:after="0"/>
        <w:rPr>
          <w:sz w:val="20"/>
          <w:szCs w:val="20"/>
          <w:color w:val="auto"/>
        </w:rPr>
      </w:pPr>
      <w:r>
        <w:rPr>
          <w:rFonts w:ascii="Arial" w:cs="Arial" w:eastAsia="Arial" w:hAnsi="Arial"/>
          <w:sz w:val="20"/>
          <w:szCs w:val="20"/>
          <w:b w:val="1"/>
          <w:bCs w:val="1"/>
          <w:color w:val="auto"/>
        </w:rPr>
        <w:t>UNITED STATES</w:t>
      </w:r>
    </w:p>
    <w:p>
      <w:pPr>
        <w:jc w:val="center"/>
        <w:ind w:right="-3"/>
        <w:spacing w:after="0"/>
        <w:rPr>
          <w:sz w:val="20"/>
          <w:szCs w:val="20"/>
          <w:color w:val="auto"/>
        </w:rPr>
      </w:pPr>
      <w:r>
        <w:rPr>
          <w:rFonts w:ascii="Arial" w:cs="Arial" w:eastAsia="Arial" w:hAnsi="Arial"/>
          <w:sz w:val="20"/>
          <w:szCs w:val="20"/>
          <w:b w:val="1"/>
          <w:bCs w:val="1"/>
          <w:color w:val="auto"/>
        </w:rPr>
        <w:t>SECURITIES AND EXCHANGE COMMISSION</w:t>
      </w:r>
    </w:p>
    <w:p>
      <w:pPr>
        <w:jc w:val="center"/>
        <w:ind w:right="-3"/>
        <w:spacing w:after="0"/>
        <w:rPr>
          <w:sz w:val="20"/>
          <w:szCs w:val="20"/>
          <w:color w:val="auto"/>
        </w:rPr>
      </w:pPr>
      <w:r>
        <w:rPr>
          <w:rFonts w:ascii="Arial" w:cs="Arial" w:eastAsia="Arial" w:hAnsi="Arial"/>
          <w:sz w:val="20"/>
          <w:szCs w:val="20"/>
          <w:b w:val="1"/>
          <w:bCs w:val="1"/>
          <w:color w:val="auto"/>
        </w:rPr>
        <w:t>WASHINGTON DC 20549</w:t>
      </w:r>
    </w:p>
    <w:p>
      <w:pPr>
        <w:spacing w:after="0" w:line="134" w:lineRule="exact"/>
        <w:rPr>
          <w:sz w:val="24"/>
          <w:szCs w:val="24"/>
          <w:color w:val="auto"/>
        </w:rPr>
      </w:pPr>
    </w:p>
    <w:p>
      <w:pPr>
        <w:jc w:val="center"/>
        <w:ind w:right="-3"/>
        <w:spacing w:after="0"/>
        <w:rPr>
          <w:sz w:val="20"/>
          <w:szCs w:val="20"/>
          <w:color w:val="auto"/>
        </w:rPr>
      </w:pPr>
      <w:r>
        <w:rPr>
          <w:rFonts w:ascii="Arial" w:cs="Arial" w:eastAsia="Arial" w:hAnsi="Arial"/>
          <w:sz w:val="20"/>
          <w:szCs w:val="20"/>
          <w:b w:val="1"/>
          <w:bCs w:val="1"/>
          <w:color w:val="auto"/>
        </w:rPr>
        <w:t>FORM 10-Q</w:t>
      </w:r>
    </w:p>
    <w:p>
      <w:pPr>
        <w:ind w:left="4"/>
        <w:spacing w:after="0" w:line="203" w:lineRule="auto"/>
        <w:rPr>
          <w:sz w:val="20"/>
          <w:szCs w:val="20"/>
          <w:color w:val="auto"/>
        </w:rPr>
      </w:pPr>
      <w:r>
        <w:rPr>
          <w:rFonts w:ascii="Arial" w:cs="Arial" w:eastAsia="Arial" w:hAnsi="Arial"/>
          <w:sz w:val="20"/>
          <w:szCs w:val="20"/>
          <w:color w:val="auto"/>
        </w:rPr>
        <w:t>(Mark One)</w:t>
      </w:r>
    </w:p>
    <w:p>
      <w:pPr>
        <w:spacing w:after="0" w:line="1" w:lineRule="exact"/>
        <w:rPr>
          <w:sz w:val="24"/>
          <w:szCs w:val="24"/>
          <w:color w:val="auto"/>
        </w:rPr>
      </w:pPr>
    </w:p>
    <w:p>
      <w:pPr>
        <w:ind w:left="224" w:hanging="224"/>
        <w:spacing w:after="0"/>
        <w:tabs>
          <w:tab w:leader="none" w:pos="224" w:val="left"/>
        </w:tabs>
        <w:numPr>
          <w:ilvl w:val="0"/>
          <w:numId w:val="1"/>
        </w:numPr>
        <w:rPr>
          <w:rFonts w:ascii="MS PGothic" w:cs="MS PGothic" w:eastAsia="MS PGothic" w:hAnsi="MS PGothic"/>
          <w:sz w:val="19"/>
          <w:szCs w:val="19"/>
          <w:color w:val="auto"/>
          <w:highlight w:val="black"/>
        </w:rPr>
      </w:pPr>
      <w:r>
        <w:rPr>
          <w:rFonts w:ascii="Arial" w:cs="Arial" w:eastAsia="Arial" w:hAnsi="Arial"/>
          <w:sz w:val="19"/>
          <w:szCs w:val="19"/>
          <w:color w:val="auto"/>
        </w:rPr>
        <w:t>QUARTERLY REPORT PURSUANT TO SECTION 13 or 15 (d) OF THE SECURITIES EXCHANGE ACT OF 1934.</w:t>
      </w:r>
    </w:p>
    <w:p>
      <w:pPr>
        <w:spacing w:after="0" w:line="18" w:lineRule="exact"/>
        <w:rPr>
          <w:rFonts w:ascii="MS PGothic" w:cs="MS PGothic" w:eastAsia="MS PGothic" w:hAnsi="MS PGothic"/>
          <w:sz w:val="19"/>
          <w:szCs w:val="19"/>
          <w:color w:val="auto"/>
          <w:highlight w:val="black"/>
        </w:rPr>
      </w:pPr>
    </w:p>
    <w:p>
      <w:pPr>
        <w:ind w:left="3004"/>
        <w:spacing w:after="0"/>
        <w:rPr>
          <w:rFonts w:ascii="MS PGothic" w:cs="MS PGothic" w:eastAsia="MS PGothic" w:hAnsi="MS PGothic"/>
          <w:sz w:val="19"/>
          <w:szCs w:val="19"/>
          <w:color w:val="auto"/>
          <w:highlight w:val="black"/>
        </w:rPr>
      </w:pPr>
      <w:r>
        <w:rPr>
          <w:rFonts w:ascii="Arial" w:cs="Arial" w:eastAsia="Arial" w:hAnsi="Arial"/>
          <w:sz w:val="20"/>
          <w:szCs w:val="20"/>
          <w:color w:val="auto"/>
        </w:rPr>
        <w:t>For the quarterly period ended September 30, 2018</w:t>
      </w:r>
    </w:p>
    <w:p>
      <w:pPr>
        <w:spacing w:after="0" w:line="105" w:lineRule="exact"/>
        <w:rPr>
          <w:sz w:val="24"/>
          <w:szCs w:val="24"/>
          <w:color w:val="auto"/>
        </w:rPr>
      </w:pPr>
    </w:p>
    <w:p>
      <w:pPr>
        <w:ind w:left="224" w:hanging="224"/>
        <w:spacing w:after="0"/>
        <w:tabs>
          <w:tab w:leader="none" w:pos="224" w:val="left"/>
        </w:tabs>
        <w:numPr>
          <w:ilvl w:val="0"/>
          <w:numId w:val="2"/>
        </w:numPr>
        <w:rPr>
          <w:rFonts w:ascii="MS PGothic" w:cs="MS PGothic" w:eastAsia="MS PGothic" w:hAnsi="MS PGothic"/>
          <w:sz w:val="19"/>
          <w:szCs w:val="19"/>
          <w:color w:val="auto"/>
          <w:highlight w:val="black"/>
        </w:rPr>
      </w:pPr>
      <w:r>
        <w:rPr>
          <w:rFonts w:ascii="Arial" w:cs="Arial" w:eastAsia="Arial" w:hAnsi="Arial"/>
          <w:sz w:val="19"/>
          <w:szCs w:val="19"/>
          <w:color w:val="auto"/>
        </w:rPr>
        <w:t>TRANSITION REPORT PURSUANT TO SECTION 13 OR 15(d) OF THE SECURITIES EXCHANGE ACT OF 1934.</w:t>
      </w:r>
    </w:p>
    <w:p>
      <w:pPr>
        <w:spacing w:after="0" w:line="27" w:lineRule="exact"/>
        <w:rPr>
          <w:rFonts w:ascii="MS PGothic" w:cs="MS PGothic" w:eastAsia="MS PGothic" w:hAnsi="MS PGothic"/>
          <w:sz w:val="19"/>
          <w:szCs w:val="19"/>
          <w:color w:val="auto"/>
          <w:highlight w:val="black"/>
        </w:rPr>
      </w:pPr>
    </w:p>
    <w:p>
      <w:pPr>
        <w:ind w:left="2264"/>
        <w:spacing w:after="0"/>
        <w:rPr>
          <w:rFonts w:ascii="MS PGothic" w:cs="MS PGothic" w:eastAsia="MS PGothic" w:hAnsi="MS PGothic"/>
          <w:sz w:val="19"/>
          <w:szCs w:val="19"/>
          <w:color w:val="auto"/>
          <w:highlight w:val="black"/>
        </w:rPr>
      </w:pPr>
      <w:r>
        <w:rPr>
          <w:rFonts w:ascii="Arial" w:cs="Arial" w:eastAsia="Arial" w:hAnsi="Arial"/>
          <w:sz w:val="20"/>
          <w:szCs w:val="20"/>
          <w:color w:val="auto"/>
        </w:rPr>
        <w:t>For the transition period from_______________ to _______________</w:t>
      </w:r>
    </w:p>
    <w:p>
      <w:pPr>
        <w:spacing w:after="0" w:line="92" w:lineRule="exact"/>
        <w:rPr>
          <w:sz w:val="24"/>
          <w:szCs w:val="24"/>
          <w:color w:val="auto"/>
        </w:rPr>
      </w:pPr>
    </w:p>
    <w:p>
      <w:pPr>
        <w:ind w:left="3704"/>
        <w:spacing w:after="0"/>
        <w:rPr>
          <w:sz w:val="20"/>
          <w:szCs w:val="20"/>
          <w:color w:val="auto"/>
        </w:rPr>
      </w:pPr>
      <w:r>
        <w:rPr>
          <w:rFonts w:ascii="Arial" w:cs="Arial" w:eastAsia="Arial" w:hAnsi="Arial"/>
          <w:sz w:val="20"/>
          <w:szCs w:val="20"/>
          <w:color w:val="auto"/>
        </w:rPr>
        <w:t>Commission File Number 1-6659</w:t>
      </w:r>
    </w:p>
    <w:p>
      <w:pPr>
        <w:spacing w:after="0" w:line="183" w:lineRule="exact"/>
        <w:rPr>
          <w:sz w:val="24"/>
          <w:szCs w:val="24"/>
          <w:color w:val="auto"/>
        </w:rPr>
      </w:pPr>
    </w:p>
    <w:p>
      <w:pPr>
        <w:ind w:left="3984"/>
        <w:spacing w:after="0"/>
        <w:rPr>
          <w:sz w:val="20"/>
          <w:szCs w:val="20"/>
          <w:color w:val="auto"/>
        </w:rPr>
      </w:pPr>
      <w:r>
        <w:rPr>
          <w:rFonts w:ascii="Arial" w:cs="Arial" w:eastAsia="Arial" w:hAnsi="Arial"/>
          <w:sz w:val="20"/>
          <w:szCs w:val="20"/>
          <w:b w:val="1"/>
          <w:bCs w:val="1"/>
          <w:u w:val="single" w:color="auto"/>
          <w:color w:val="auto"/>
        </w:rPr>
        <w:t>AQUA AMERICA, INC.</w:t>
      </w:r>
    </w:p>
    <w:p>
      <w:pPr>
        <w:spacing w:after="0" w:line="22" w:lineRule="exact"/>
        <w:rPr>
          <w:sz w:val="24"/>
          <w:szCs w:val="24"/>
          <w:color w:val="auto"/>
        </w:rPr>
      </w:pPr>
    </w:p>
    <w:p>
      <w:pPr>
        <w:jc w:val="center"/>
        <w:ind w:right="56"/>
        <w:spacing w:after="0"/>
        <w:rPr>
          <w:sz w:val="20"/>
          <w:szCs w:val="20"/>
          <w:color w:val="auto"/>
        </w:rPr>
      </w:pPr>
      <w:r>
        <w:rPr>
          <w:rFonts w:ascii="Arial" w:cs="Arial" w:eastAsia="Arial" w:hAnsi="Arial"/>
          <w:sz w:val="20"/>
          <w:szCs w:val="20"/>
          <w:color w:val="auto"/>
        </w:rPr>
        <w:t>(Exact name of registrant as specified in its charter)</w:t>
      </w:r>
    </w:p>
    <w:p>
      <w:pPr>
        <w:spacing w:after="0" w:line="243" w:lineRule="exact"/>
        <w:rPr>
          <w:sz w:val="24"/>
          <w:szCs w:val="24"/>
          <w:color w:val="auto"/>
        </w:rPr>
      </w:pPr>
    </w:p>
    <w:tbl>
      <w:tblPr>
        <w:tblLayout w:type="fixed"/>
        <w:tblInd w:w="364" w:type="dxa"/>
        <w:tblCellMar>
          <w:top w:w="0" w:type="dxa"/>
          <w:left w:w="0" w:type="dxa"/>
          <w:bottom w:w="0" w:type="dxa"/>
          <w:right w:w="0" w:type="dxa"/>
        </w:tblCellMar>
      </w:tblPr>
      <w:tr>
        <w:trPr>
          <w:trHeight w:val="230"/>
        </w:trPr>
        <w:tc>
          <w:tcPr>
            <w:tcW w:w="1580" w:type="dxa"/>
            <w:vAlign w:val="bottom"/>
          </w:tcPr>
          <w:p>
            <w:pPr>
              <w:spacing w:after="0"/>
              <w:rPr>
                <w:sz w:val="19"/>
                <w:szCs w:val="19"/>
                <w:color w:val="auto"/>
              </w:rPr>
            </w:pPr>
          </w:p>
        </w:tc>
        <w:tc>
          <w:tcPr>
            <w:tcW w:w="1060" w:type="dxa"/>
            <w:vAlign w:val="bottom"/>
          </w:tcPr>
          <w:p>
            <w:pPr>
              <w:jc w:val="center"/>
              <w:spacing w:after="0"/>
              <w:rPr>
                <w:sz w:val="20"/>
                <w:szCs w:val="20"/>
                <w:color w:val="auto"/>
              </w:rPr>
            </w:pPr>
            <w:r>
              <w:rPr>
                <w:rFonts w:ascii="Arial" w:cs="Arial" w:eastAsia="Arial" w:hAnsi="Arial"/>
                <w:sz w:val="20"/>
                <w:szCs w:val="20"/>
                <w:color w:val="auto"/>
                <w:w w:val="89"/>
              </w:rPr>
              <w:t>Pennsylvania</w:t>
            </w:r>
          </w:p>
        </w:tc>
        <w:tc>
          <w:tcPr>
            <w:tcW w:w="2680" w:type="dxa"/>
            <w:vAlign w:val="bottom"/>
            <w:gridSpan w:val="2"/>
          </w:tcPr>
          <w:p>
            <w:pPr>
              <w:spacing w:after="0"/>
              <w:rPr>
                <w:sz w:val="19"/>
                <w:szCs w:val="19"/>
                <w:color w:val="auto"/>
              </w:rPr>
            </w:pPr>
          </w:p>
        </w:tc>
        <w:tc>
          <w:tcPr>
            <w:tcW w:w="1360" w:type="dxa"/>
            <w:vAlign w:val="bottom"/>
            <w:gridSpan w:val="2"/>
          </w:tcPr>
          <w:p>
            <w:pPr>
              <w:spacing w:after="0"/>
              <w:rPr>
                <w:sz w:val="19"/>
                <w:szCs w:val="19"/>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20"/>
                <w:szCs w:val="20"/>
                <w:color w:val="auto"/>
                <w:w w:val="88"/>
              </w:rPr>
              <w:t>23-1702594</w:t>
            </w:r>
          </w:p>
        </w:tc>
        <w:tc>
          <w:tcPr>
            <w:tcW w:w="240" w:type="dxa"/>
            <w:vAlign w:val="bottom"/>
          </w:tcPr>
          <w:p>
            <w:pPr>
              <w:spacing w:after="0"/>
              <w:rPr>
                <w:sz w:val="19"/>
                <w:szCs w:val="19"/>
                <w:color w:val="auto"/>
              </w:rPr>
            </w:pPr>
          </w:p>
        </w:tc>
      </w:tr>
      <w:tr>
        <w:trPr>
          <w:trHeight w:val="20"/>
        </w:trPr>
        <w:tc>
          <w:tcPr>
            <w:tcW w:w="158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233"/>
        </w:trPr>
        <w:tc>
          <w:tcPr>
            <w:tcW w:w="5320" w:type="dxa"/>
            <w:vAlign w:val="bottom"/>
            <w:gridSpan w:val="4"/>
          </w:tcPr>
          <w:p>
            <w:pPr>
              <w:jc w:val="center"/>
              <w:ind w:right="1100"/>
              <w:spacing w:after="0"/>
              <w:rPr>
                <w:sz w:val="20"/>
                <w:szCs w:val="20"/>
                <w:color w:val="auto"/>
              </w:rPr>
            </w:pPr>
            <w:r>
              <w:rPr>
                <w:rFonts w:ascii="Arial" w:cs="Arial" w:eastAsia="Arial" w:hAnsi="Arial"/>
                <w:sz w:val="20"/>
                <w:szCs w:val="20"/>
                <w:color w:val="auto"/>
                <w:w w:val="91"/>
              </w:rPr>
              <w:t>(State or other jurisdiction of</w:t>
            </w:r>
          </w:p>
        </w:tc>
        <w:tc>
          <w:tcPr>
            <w:tcW w:w="2580" w:type="dxa"/>
            <w:vAlign w:val="bottom"/>
            <w:gridSpan w:val="5"/>
          </w:tcPr>
          <w:p>
            <w:pPr>
              <w:jc w:val="center"/>
              <w:ind w:left="1001"/>
              <w:spacing w:after="0"/>
              <w:rPr>
                <w:sz w:val="20"/>
                <w:szCs w:val="20"/>
                <w:color w:val="auto"/>
              </w:rPr>
            </w:pPr>
            <w:r>
              <w:rPr>
                <w:rFonts w:ascii="Arial" w:cs="Arial" w:eastAsia="Arial" w:hAnsi="Arial"/>
                <w:sz w:val="20"/>
                <w:szCs w:val="20"/>
                <w:color w:val="auto"/>
                <w:w w:val="92"/>
              </w:rPr>
              <w:t>(I.R.S. Employer</w:t>
            </w:r>
          </w:p>
        </w:tc>
      </w:tr>
      <w:tr>
        <w:trPr>
          <w:trHeight w:val="250"/>
        </w:trPr>
        <w:tc>
          <w:tcPr>
            <w:tcW w:w="5320" w:type="dxa"/>
            <w:vAlign w:val="bottom"/>
            <w:gridSpan w:val="4"/>
          </w:tcPr>
          <w:p>
            <w:pPr>
              <w:jc w:val="center"/>
              <w:ind w:right="1100"/>
              <w:spacing w:after="0"/>
              <w:rPr>
                <w:sz w:val="20"/>
                <w:szCs w:val="20"/>
                <w:color w:val="auto"/>
              </w:rPr>
            </w:pPr>
            <w:r>
              <w:rPr>
                <w:rFonts w:ascii="Arial" w:cs="Arial" w:eastAsia="Arial" w:hAnsi="Arial"/>
                <w:sz w:val="20"/>
                <w:szCs w:val="20"/>
                <w:color w:val="auto"/>
                <w:w w:val="91"/>
              </w:rPr>
              <w:t>incorporation or organization)</w:t>
            </w:r>
          </w:p>
        </w:tc>
        <w:tc>
          <w:tcPr>
            <w:tcW w:w="2580" w:type="dxa"/>
            <w:vAlign w:val="bottom"/>
            <w:gridSpan w:val="5"/>
          </w:tcPr>
          <w:p>
            <w:pPr>
              <w:jc w:val="center"/>
              <w:ind w:left="1001"/>
              <w:spacing w:after="0"/>
              <w:rPr>
                <w:sz w:val="20"/>
                <w:szCs w:val="20"/>
                <w:color w:val="auto"/>
              </w:rPr>
            </w:pPr>
            <w:r>
              <w:rPr>
                <w:rFonts w:ascii="Arial" w:cs="Arial" w:eastAsia="Arial" w:hAnsi="Arial"/>
                <w:sz w:val="20"/>
                <w:szCs w:val="20"/>
                <w:color w:val="auto"/>
                <w:w w:val="95"/>
              </w:rPr>
              <w:t>Identification No.)</w:t>
            </w:r>
          </w:p>
        </w:tc>
      </w:tr>
      <w:tr>
        <w:trPr>
          <w:trHeight w:val="415"/>
        </w:trPr>
        <w:tc>
          <w:tcPr>
            <w:tcW w:w="5320" w:type="dxa"/>
            <w:vAlign w:val="bottom"/>
            <w:gridSpan w:val="4"/>
          </w:tcPr>
          <w:p>
            <w:pPr>
              <w:jc w:val="center"/>
              <w:ind w:right="1120"/>
              <w:spacing w:after="0"/>
              <w:rPr>
                <w:sz w:val="20"/>
                <w:szCs w:val="20"/>
                <w:color w:val="auto"/>
              </w:rPr>
            </w:pPr>
            <w:r>
              <w:rPr>
                <w:rFonts w:ascii="Arial" w:cs="Arial" w:eastAsia="Arial" w:hAnsi="Arial"/>
                <w:sz w:val="20"/>
                <w:szCs w:val="20"/>
                <w:color w:val="auto"/>
                <w:w w:val="89"/>
              </w:rPr>
              <w:t>762 W. Lancaster Avenue, Bryn Mawr, Pennsylvania</w:t>
            </w:r>
          </w:p>
        </w:tc>
        <w:tc>
          <w:tcPr>
            <w:tcW w:w="2580" w:type="dxa"/>
            <w:vAlign w:val="bottom"/>
            <w:gridSpan w:val="5"/>
          </w:tcPr>
          <w:p>
            <w:pPr>
              <w:jc w:val="right"/>
              <w:ind w:right="240"/>
              <w:spacing w:after="0"/>
              <w:rPr>
                <w:sz w:val="20"/>
                <w:szCs w:val="20"/>
                <w:color w:val="auto"/>
              </w:rPr>
            </w:pPr>
            <w:r>
              <w:rPr>
                <w:rFonts w:ascii="Arial" w:cs="Arial" w:eastAsia="Arial" w:hAnsi="Arial"/>
                <w:sz w:val="20"/>
                <w:szCs w:val="20"/>
                <w:color w:val="auto"/>
              </w:rPr>
              <w:t>19010 -3489</w:t>
            </w:r>
          </w:p>
        </w:tc>
      </w:tr>
      <w:tr>
        <w:trPr>
          <w:trHeight w:val="254"/>
        </w:trPr>
        <w:tc>
          <w:tcPr>
            <w:tcW w:w="4200" w:type="dxa"/>
            <w:vAlign w:val="bottom"/>
            <w:tcBorders>
              <w:top w:val="single" w:sz="8" w:color="auto"/>
            </w:tcBorders>
            <w:gridSpan w:val="3"/>
          </w:tcPr>
          <w:p>
            <w:pPr>
              <w:jc w:val="center"/>
              <w:spacing w:after="0"/>
              <w:rPr>
                <w:sz w:val="20"/>
                <w:szCs w:val="20"/>
                <w:color w:val="auto"/>
              </w:rPr>
            </w:pPr>
            <w:r>
              <w:rPr>
                <w:rFonts w:ascii="Arial" w:cs="Arial" w:eastAsia="Arial" w:hAnsi="Arial"/>
                <w:sz w:val="20"/>
                <w:szCs w:val="20"/>
                <w:color w:val="auto"/>
                <w:w w:val="91"/>
              </w:rPr>
              <w:t>(Address of principal executive offices)</w:t>
            </w:r>
          </w:p>
        </w:tc>
        <w:tc>
          <w:tcPr>
            <w:tcW w:w="112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20" w:type="dxa"/>
            <w:vAlign w:val="bottom"/>
            <w:tcBorders>
              <w:top w:val="single" w:sz="8" w:color="auto"/>
            </w:tcBorders>
          </w:tcPr>
          <w:p>
            <w:pPr>
              <w:spacing w:after="0"/>
              <w:rPr>
                <w:sz w:val="22"/>
                <w:szCs w:val="22"/>
                <w:color w:val="auto"/>
              </w:rPr>
            </w:pPr>
          </w:p>
        </w:tc>
        <w:tc>
          <w:tcPr>
            <w:tcW w:w="980" w:type="dxa"/>
            <w:vAlign w:val="bottom"/>
            <w:tcBorders>
              <w:top w:val="single" w:sz="8" w:color="auto"/>
            </w:tcBorders>
            <w:gridSpan w:val="2"/>
          </w:tcPr>
          <w:p>
            <w:pPr>
              <w:jc w:val="center"/>
              <w:ind w:right="20"/>
              <w:spacing w:after="0"/>
              <w:rPr>
                <w:sz w:val="20"/>
                <w:szCs w:val="20"/>
                <w:color w:val="auto"/>
              </w:rPr>
            </w:pPr>
            <w:r>
              <w:rPr>
                <w:rFonts w:ascii="Arial" w:cs="Arial" w:eastAsia="Arial" w:hAnsi="Arial"/>
                <w:sz w:val="20"/>
                <w:szCs w:val="20"/>
                <w:color w:val="auto"/>
                <w:w w:val="93"/>
              </w:rPr>
              <w:t>(Zip Code)</w:t>
            </w:r>
          </w:p>
        </w:tc>
        <w:tc>
          <w:tcPr>
            <w:tcW w:w="240" w:type="dxa"/>
            <w:vAlign w:val="bottom"/>
          </w:tcPr>
          <w:p>
            <w:pPr>
              <w:spacing w:after="0"/>
              <w:rPr>
                <w:sz w:val="22"/>
                <w:szCs w:val="22"/>
                <w:color w:val="auto"/>
              </w:rPr>
            </w:pPr>
          </w:p>
        </w:tc>
      </w:tr>
    </w:tbl>
    <w:p>
      <w:pPr>
        <w:spacing w:after="0" w:line="209" w:lineRule="exact"/>
        <w:rPr>
          <w:sz w:val="24"/>
          <w:szCs w:val="24"/>
          <w:color w:val="auto"/>
        </w:rPr>
      </w:pPr>
    </w:p>
    <w:p>
      <w:pPr>
        <w:jc w:val="center"/>
        <w:ind w:right="-3"/>
        <w:spacing w:after="0"/>
        <w:rPr>
          <w:sz w:val="20"/>
          <w:szCs w:val="20"/>
          <w:color w:val="auto"/>
        </w:rPr>
      </w:pPr>
      <w:r>
        <w:rPr>
          <w:rFonts w:ascii="Arial" w:cs="Arial" w:eastAsia="Arial" w:hAnsi="Arial"/>
          <w:sz w:val="20"/>
          <w:szCs w:val="20"/>
          <w:u w:val="single" w:color="auto"/>
          <w:color w:val="auto"/>
        </w:rPr>
        <w:t>(610) 527-8000</w:t>
      </w:r>
    </w:p>
    <w:p>
      <w:pPr>
        <w:spacing w:after="0" w:line="16" w:lineRule="exact"/>
        <w:rPr>
          <w:sz w:val="24"/>
          <w:szCs w:val="24"/>
          <w:color w:val="auto"/>
        </w:rPr>
      </w:pPr>
    </w:p>
    <w:p>
      <w:pPr>
        <w:jc w:val="center"/>
        <w:ind w:right="-3"/>
        <w:spacing w:after="0"/>
        <w:rPr>
          <w:sz w:val="20"/>
          <w:szCs w:val="20"/>
          <w:color w:val="auto"/>
        </w:rPr>
      </w:pPr>
      <w:r>
        <w:rPr>
          <w:rFonts w:ascii="Arial" w:cs="Arial" w:eastAsia="Arial" w:hAnsi="Arial"/>
          <w:sz w:val="20"/>
          <w:szCs w:val="20"/>
          <w:color w:val="auto"/>
        </w:rPr>
        <w:t>(Registrant’s telephone number, including area code)</w:t>
      </w:r>
    </w:p>
    <w:p>
      <w:pPr>
        <w:spacing w:after="0" w:line="213" w:lineRule="exact"/>
        <w:rPr>
          <w:sz w:val="24"/>
          <w:szCs w:val="24"/>
          <w:color w:val="auto"/>
        </w:rPr>
      </w:pPr>
    </w:p>
    <w:p>
      <w:pPr>
        <w:jc w:val="center"/>
        <w:ind w:right="-103"/>
        <w:spacing w:after="0"/>
        <w:rPr>
          <w:sz w:val="20"/>
          <w:szCs w:val="20"/>
          <w:color w:val="auto"/>
        </w:rPr>
      </w:pPr>
      <w:r>
        <w:rPr>
          <w:rFonts w:ascii="Arial" w:cs="Arial" w:eastAsia="Arial" w:hAnsi="Arial"/>
          <w:sz w:val="20"/>
          <w:szCs w:val="20"/>
          <w:color w:val="auto"/>
        </w:rPr>
        <w:t>(Former Name, former address and former fiscal year, if changed since last report.)</w:t>
      </w:r>
    </w:p>
    <w:p>
      <w:pPr>
        <w:spacing w:after="0" w:line="229" w:lineRule="exact"/>
        <w:rPr>
          <w:sz w:val="24"/>
          <w:szCs w:val="24"/>
          <w:color w:val="auto"/>
        </w:rPr>
      </w:pPr>
    </w:p>
    <w:p>
      <w:pPr>
        <w:ind w:left="4" w:right="120"/>
        <w:spacing w:after="0" w:line="248" w:lineRule="exact"/>
        <w:rPr>
          <w:sz w:val="20"/>
          <w:szCs w:val="20"/>
          <w:color w:val="auto"/>
        </w:rPr>
      </w:pPr>
      <w:r>
        <w:rPr>
          <w:rFonts w:ascii="Arial" w:cs="Arial" w:eastAsia="Arial" w:hAnsi="Arial"/>
          <w:sz w:val="19"/>
          <w:szCs w:val="19"/>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9"/>
          <w:szCs w:val="19"/>
          <w:color w:val="auto"/>
          <w:highlight w:val="black"/>
        </w:rPr>
        <w:t>☒</w:t>
      </w:r>
      <w:r>
        <w:rPr>
          <w:rFonts w:ascii="Arial" w:cs="Arial" w:eastAsia="Arial" w:hAnsi="Arial"/>
          <w:sz w:val="19"/>
          <w:szCs w:val="19"/>
          <w:color w:val="auto"/>
        </w:rPr>
        <w:t xml:space="preserve"> No </w:t>
      </w:r>
      <w:r>
        <w:rPr>
          <w:rFonts w:ascii="MS PGothic" w:cs="MS PGothic" w:eastAsia="MS PGothic" w:hAnsi="MS PGothic"/>
          <w:sz w:val="19"/>
          <w:szCs w:val="19"/>
          <w:color w:val="auto"/>
          <w:highlight w:val="black"/>
        </w:rPr>
        <w:t>☐</w:t>
      </w:r>
    </w:p>
    <w:p>
      <w:pPr>
        <w:spacing w:after="0" w:line="189" w:lineRule="exact"/>
        <w:rPr>
          <w:sz w:val="24"/>
          <w:szCs w:val="24"/>
          <w:color w:val="auto"/>
        </w:rPr>
      </w:pPr>
    </w:p>
    <w:p>
      <w:pPr>
        <w:jc w:val="both"/>
        <w:ind w:left="4" w:right="20"/>
        <w:spacing w:after="0" w:line="249" w:lineRule="exact"/>
        <w:rPr>
          <w:sz w:val="20"/>
          <w:szCs w:val="20"/>
          <w:color w:val="auto"/>
        </w:rPr>
      </w:pPr>
      <w:r>
        <w:rPr>
          <w:rFonts w:ascii="Arial" w:cs="Arial" w:eastAsia="Arial" w:hAnsi="Arial"/>
          <w:sz w:val="20"/>
          <w:szCs w:val="20"/>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20"/>
          <w:szCs w:val="20"/>
          <w:color w:val="auto"/>
          <w:highlight w:val="black"/>
        </w:rPr>
        <w:t>☒</w:t>
      </w:r>
      <w:r>
        <w:rPr>
          <w:rFonts w:ascii="Arial" w:cs="Arial" w:eastAsia="Arial" w:hAnsi="Arial"/>
          <w:sz w:val="20"/>
          <w:szCs w:val="20"/>
          <w:color w:val="auto"/>
        </w:rPr>
        <w:t xml:space="preserve"> No </w:t>
      </w:r>
      <w:r>
        <w:rPr>
          <w:rFonts w:ascii="MS PGothic" w:cs="MS PGothic" w:eastAsia="MS PGothic" w:hAnsi="MS PGothic"/>
          <w:sz w:val="20"/>
          <w:szCs w:val="20"/>
          <w:color w:val="auto"/>
          <w:highlight w:val="black"/>
        </w:rPr>
        <w:t>☐</w:t>
      </w:r>
    </w:p>
    <w:p>
      <w:pPr>
        <w:spacing w:after="0" w:line="187" w:lineRule="exact"/>
        <w:rPr>
          <w:sz w:val="24"/>
          <w:szCs w:val="24"/>
          <w:color w:val="auto"/>
        </w:rPr>
      </w:pPr>
    </w:p>
    <w:p>
      <w:pPr>
        <w:jc w:val="both"/>
        <w:ind w:left="4"/>
        <w:spacing w:after="0" w:line="259" w:lineRule="auto"/>
        <w:rPr>
          <w:sz w:val="20"/>
          <w:szCs w:val="20"/>
          <w:color w:val="auto"/>
        </w:rPr>
      </w:pPr>
      <w:r>
        <w:rPr>
          <w:rFonts w:ascii="Arial" w:cs="Arial" w:eastAsia="Arial" w:hAnsi="Arial"/>
          <w:sz w:val="19"/>
          <w:szCs w:val="19"/>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2" w:lineRule="exact"/>
        <w:rPr>
          <w:sz w:val="24"/>
          <w:szCs w:val="24"/>
          <w:color w:val="auto"/>
        </w:rPr>
      </w:pPr>
    </w:p>
    <w:p>
      <w:pPr>
        <w:ind w:left="4"/>
        <w:spacing w:after="0" w:line="230" w:lineRule="exact"/>
        <w:tabs>
          <w:tab w:leader="none" w:pos="6683" w:val="left"/>
        </w:tabs>
        <w:rPr>
          <w:sz w:val="20"/>
          <w:szCs w:val="20"/>
          <w:color w:val="auto"/>
        </w:rPr>
      </w:pPr>
      <w:r>
        <w:rPr>
          <w:rFonts w:ascii="Arial" w:cs="Arial" w:eastAsia="Arial" w:hAnsi="Arial"/>
          <w:sz w:val="20"/>
          <w:szCs w:val="20"/>
          <w:color w:val="auto"/>
        </w:rPr>
        <w:t xml:space="preserve">Large accelerated filer </w:t>
      </w:r>
      <w:r>
        <w:rPr>
          <w:rFonts w:ascii="MS PGothic" w:cs="MS PGothic" w:eastAsia="MS PGothic" w:hAnsi="MS PGothic"/>
          <w:sz w:val="20"/>
          <w:szCs w:val="20"/>
          <w:color w:val="auto"/>
          <w:highlight w:val="black"/>
        </w:rPr>
        <w:t>☒</w:t>
      </w:r>
      <w:r>
        <w:rPr>
          <w:sz w:val="20"/>
          <w:szCs w:val="20"/>
          <w:color w:val="auto"/>
        </w:rPr>
        <w:tab/>
      </w:r>
      <w:r>
        <w:rPr>
          <w:rFonts w:ascii="Arial" w:cs="Arial" w:eastAsia="Arial" w:hAnsi="Arial"/>
          <w:sz w:val="18"/>
          <w:szCs w:val="18"/>
          <w:color w:val="auto"/>
        </w:rPr>
        <w:t xml:space="preserve">Accelerated filer </w:t>
      </w:r>
      <w:r>
        <w:rPr>
          <w:rFonts w:ascii="MS PGothic" w:cs="MS PGothic" w:eastAsia="MS PGothic" w:hAnsi="MS PGothic"/>
          <w:sz w:val="18"/>
          <w:szCs w:val="18"/>
          <w:color w:val="auto"/>
          <w:highlight w:val="black"/>
        </w:rPr>
        <w:t>☐</w:t>
      </w:r>
    </w:p>
    <w:p>
      <w:pPr>
        <w:spacing w:after="0" w:line="35" w:lineRule="exact"/>
        <w:rPr>
          <w:sz w:val="24"/>
          <w:szCs w:val="24"/>
          <w:color w:val="auto"/>
        </w:rPr>
      </w:pPr>
    </w:p>
    <w:p>
      <w:pPr>
        <w:ind w:left="4"/>
        <w:spacing w:after="0" w:line="230" w:lineRule="exact"/>
        <w:tabs>
          <w:tab w:leader="none" w:pos="6683" w:val="left"/>
        </w:tabs>
        <w:rPr>
          <w:sz w:val="20"/>
          <w:szCs w:val="20"/>
          <w:color w:val="auto"/>
        </w:rPr>
      </w:pPr>
      <w:r>
        <w:rPr>
          <w:rFonts w:ascii="Arial" w:cs="Arial" w:eastAsia="Arial" w:hAnsi="Arial"/>
          <w:sz w:val="20"/>
          <w:szCs w:val="20"/>
          <w:color w:val="auto"/>
        </w:rPr>
        <w:t xml:space="preserve">Non-accelerated filer </w:t>
      </w:r>
      <w:r>
        <w:rPr>
          <w:rFonts w:ascii="MS PGothic" w:cs="MS PGothic" w:eastAsia="MS PGothic" w:hAnsi="MS PGothic"/>
          <w:sz w:val="20"/>
          <w:szCs w:val="20"/>
          <w:color w:val="auto"/>
          <w:highlight w:val="black"/>
        </w:rPr>
        <w:t>☐</w:t>
      </w:r>
      <w:r>
        <w:rPr>
          <w:sz w:val="20"/>
          <w:szCs w:val="20"/>
          <w:color w:val="auto"/>
        </w:rPr>
        <w:tab/>
      </w:r>
      <w:r>
        <w:rPr>
          <w:rFonts w:ascii="Arial" w:cs="Arial" w:eastAsia="Arial" w:hAnsi="Arial"/>
          <w:sz w:val="18"/>
          <w:szCs w:val="18"/>
          <w:color w:val="auto"/>
        </w:rPr>
        <w:t xml:space="preserve">Smaller reporting company </w:t>
      </w:r>
      <w:r>
        <w:rPr>
          <w:rFonts w:ascii="MS PGothic" w:cs="MS PGothic" w:eastAsia="MS PGothic" w:hAnsi="MS PGothic"/>
          <w:sz w:val="18"/>
          <w:szCs w:val="18"/>
          <w:color w:val="auto"/>
          <w:highlight w:val="black"/>
        </w:rPr>
        <w:t>☐</w:t>
      </w:r>
    </w:p>
    <w:p>
      <w:pPr>
        <w:spacing w:after="0" w:line="13" w:lineRule="exact"/>
        <w:rPr>
          <w:sz w:val="24"/>
          <w:szCs w:val="24"/>
          <w:color w:val="auto"/>
        </w:rPr>
      </w:pPr>
    </w:p>
    <w:p>
      <w:pPr>
        <w:ind w:left="4"/>
        <w:spacing w:after="0" w:line="230" w:lineRule="exact"/>
        <w:rPr>
          <w:sz w:val="20"/>
          <w:szCs w:val="20"/>
          <w:color w:val="auto"/>
        </w:rPr>
      </w:pPr>
      <w:r>
        <w:rPr>
          <w:rFonts w:ascii="Arial" w:cs="Arial" w:eastAsia="Arial" w:hAnsi="Arial"/>
          <w:sz w:val="20"/>
          <w:szCs w:val="20"/>
          <w:color w:val="auto"/>
        </w:rPr>
        <w:t xml:space="preserve">Emerging growth company </w:t>
      </w:r>
      <w:r>
        <w:rPr>
          <w:rFonts w:ascii="MS PGothic" w:cs="MS PGothic" w:eastAsia="MS PGothic" w:hAnsi="MS PGothic"/>
          <w:sz w:val="20"/>
          <w:szCs w:val="20"/>
          <w:color w:val="auto"/>
          <w:highlight w:val="black"/>
        </w:rPr>
        <w:t>☐</w:t>
      </w:r>
    </w:p>
    <w:p>
      <w:pPr>
        <w:spacing w:after="0" w:line="213" w:lineRule="exact"/>
        <w:rPr>
          <w:sz w:val="24"/>
          <w:szCs w:val="24"/>
          <w:color w:val="auto"/>
        </w:rPr>
      </w:pPr>
    </w:p>
    <w:p>
      <w:pPr>
        <w:ind w:left="4" w:right="240"/>
        <w:spacing w:after="0" w:line="249" w:lineRule="exact"/>
        <w:rPr>
          <w:sz w:val="20"/>
          <w:szCs w:val="20"/>
          <w:color w:val="auto"/>
        </w:rPr>
      </w:pPr>
      <w:r>
        <w:rPr>
          <w:rFonts w:ascii="Arial" w:cs="Arial" w:eastAsia="Arial" w:hAnsi="Arial"/>
          <w:sz w:val="20"/>
          <w:szCs w:val="20"/>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20"/>
          <w:szCs w:val="20"/>
          <w:color w:val="auto"/>
          <w:highlight w:val="black"/>
        </w:rPr>
        <w:t>☐</w:t>
      </w:r>
    </w:p>
    <w:p>
      <w:pPr>
        <w:spacing w:after="0" w:line="187" w:lineRule="exact"/>
        <w:rPr>
          <w:sz w:val="24"/>
          <w:szCs w:val="24"/>
          <w:color w:val="auto"/>
        </w:rPr>
      </w:pPr>
    </w:p>
    <w:p>
      <w:pPr>
        <w:ind w:left="4" w:right="20"/>
        <w:spacing w:after="0" w:line="257" w:lineRule="exact"/>
        <w:rPr>
          <w:sz w:val="20"/>
          <w:szCs w:val="20"/>
          <w:color w:val="auto"/>
        </w:rPr>
      </w:pPr>
      <w:r>
        <w:rPr>
          <w:rFonts w:ascii="Arial" w:cs="Arial" w:eastAsia="Arial" w:hAnsi="Arial"/>
          <w:sz w:val="20"/>
          <w:szCs w:val="20"/>
          <w:color w:val="auto"/>
        </w:rPr>
        <w:t xml:space="preserve">Indicate by check mark whether the registrant is a shell company (as defined in Rule 12b-2 of the Exchange Act). Yes </w:t>
      </w:r>
      <w:r>
        <w:rPr>
          <w:rFonts w:ascii="MS PGothic" w:cs="MS PGothic" w:eastAsia="MS PGothic" w:hAnsi="MS PGothic"/>
          <w:sz w:val="20"/>
          <w:szCs w:val="20"/>
          <w:color w:val="auto"/>
          <w:highlight w:val="black"/>
        </w:rPr>
        <w:t>☐</w:t>
      </w:r>
      <w:r>
        <w:rPr>
          <w:rFonts w:ascii="Arial" w:cs="Arial" w:eastAsia="Arial" w:hAnsi="Arial"/>
          <w:sz w:val="20"/>
          <w:szCs w:val="20"/>
          <w:color w:val="auto"/>
        </w:rPr>
        <w:t xml:space="preserve"> No </w:t>
      </w:r>
      <w:r>
        <w:rPr>
          <w:rFonts w:ascii="MS PGothic" w:cs="MS PGothic" w:eastAsia="MS PGothic" w:hAnsi="MS PGothic"/>
          <w:sz w:val="20"/>
          <w:szCs w:val="20"/>
          <w:color w:val="auto"/>
          <w:highlight w:val="black"/>
        </w:rPr>
        <w:t>☒</w:t>
      </w:r>
    </w:p>
    <w:p>
      <w:pPr>
        <w:spacing w:after="0" w:line="189" w:lineRule="exact"/>
        <w:rPr>
          <w:sz w:val="24"/>
          <w:szCs w:val="24"/>
          <w:color w:val="auto"/>
        </w:rPr>
      </w:pPr>
    </w:p>
    <w:p>
      <w:pPr>
        <w:ind w:left="4" w:right="2560"/>
        <w:spacing w:after="0" w:line="260" w:lineRule="auto"/>
        <w:rPr>
          <w:sz w:val="20"/>
          <w:szCs w:val="20"/>
          <w:color w:val="auto"/>
        </w:rPr>
      </w:pPr>
      <w:r>
        <w:rPr>
          <w:rFonts w:ascii="Arial" w:cs="Arial" w:eastAsia="Arial" w:hAnsi="Arial"/>
          <w:sz w:val="20"/>
          <w:szCs w:val="20"/>
          <w:color w:val="auto"/>
        </w:rPr>
        <w:t>Indicate the number of shares outstanding of each of the issuer's classes of common stock, as of October 24, 2018: 177,939,879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150495</wp:posOffset>
            </wp:positionH>
            <wp:positionV relativeFrom="paragraph">
              <wp:posOffset>487680</wp:posOffset>
            </wp:positionV>
            <wp:extent cx="6156960" cy="514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156960" cy="51435"/>
                    </a:xfrm>
                    <a:prstGeom prst="rect">
                      <a:avLst/>
                    </a:prstGeom>
                    <a:noFill/>
                  </pic:spPr>
                </pic:pic>
              </a:graphicData>
            </a:graphic>
          </wp:anchor>
        </w:drawing>
      </w:r>
    </w:p>
    <w:p>
      <w:pPr>
        <w:sectPr>
          <w:pgSz w:w="11900" w:h="16838" w:orient="portrait"/>
          <w:cols w:equalWidth="0" w:num="1">
            <w:col w:w="10124"/>
          </w:cols>
          <w:pgMar w:left="896" w:top="226" w:right="879" w:bottom="1440" w:gutter="0" w:footer="0" w:header="0"/>
        </w:sectPr>
      </w:pPr>
    </w:p>
    <w:bookmarkStart w:id="1" w:name="page2"/>
    <w:bookmarkEnd w:id="1"/>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9" w:lineRule="exact"/>
        <w:rPr>
          <w:sz w:val="20"/>
          <w:szCs w:val="20"/>
          <w:color w:val="auto"/>
        </w:rPr>
      </w:pPr>
    </w:p>
    <w:p>
      <w:pPr>
        <w:jc w:val="center"/>
        <w:ind w:right="360"/>
        <w:spacing w:after="0"/>
        <w:rPr>
          <w:sz w:val="20"/>
          <w:szCs w:val="20"/>
          <w:color w:val="auto"/>
        </w:rPr>
      </w:pPr>
      <w:r>
        <w:rPr>
          <w:rFonts w:ascii="Arial" w:cs="Arial" w:eastAsia="Arial" w:hAnsi="Arial"/>
          <w:sz w:val="22"/>
          <w:szCs w:val="22"/>
          <w:color w:val="auto"/>
        </w:rPr>
        <w:t>AQUA AMERICA, INC. AND SUBSIDIARIES</w:t>
      </w:r>
    </w:p>
    <w:p>
      <w:pPr>
        <w:spacing w:after="0" w:line="229" w:lineRule="exact"/>
        <w:rPr>
          <w:sz w:val="20"/>
          <w:szCs w:val="20"/>
          <w:color w:val="auto"/>
        </w:rPr>
      </w:pPr>
    </w:p>
    <w:p>
      <w:pPr>
        <w:jc w:val="center"/>
        <w:ind w:right="360"/>
        <w:spacing w:after="0"/>
        <w:rPr>
          <w:sz w:val="20"/>
          <w:szCs w:val="20"/>
          <w:color w:val="auto"/>
        </w:rPr>
      </w:pPr>
      <w:r>
        <w:rPr>
          <w:rFonts w:ascii="Arial" w:cs="Arial" w:eastAsia="Arial" w:hAnsi="Arial"/>
          <w:sz w:val="22"/>
          <w:szCs w:val="22"/>
          <w:color w:val="auto"/>
        </w:rPr>
        <w:t>TABLE OF CONTENTS</w:t>
      </w:r>
    </w:p>
    <w:p>
      <w:pPr>
        <w:spacing w:after="0" w:line="214"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500" w:type="dxa"/>
            <w:vAlign w:val="bottom"/>
            <w:gridSpan w:val="2"/>
          </w:tcPr>
          <w:p>
            <w:pPr>
              <w:jc w:val="right"/>
              <w:ind w:right="120"/>
              <w:spacing w:after="0"/>
              <w:rPr>
                <w:sz w:val="20"/>
                <w:szCs w:val="20"/>
                <w:color w:val="auto"/>
              </w:rPr>
            </w:pPr>
            <w:r>
              <w:rPr>
                <w:rFonts w:ascii="Arial" w:cs="Arial" w:eastAsia="Arial" w:hAnsi="Arial"/>
                <w:sz w:val="20"/>
                <w:szCs w:val="20"/>
                <w:color w:val="auto"/>
                <w:w w:val="76"/>
              </w:rPr>
              <w:t>Page</w:t>
            </w:r>
          </w:p>
        </w:tc>
      </w:tr>
      <w:tr>
        <w:trPr>
          <w:trHeight w:val="21"/>
        </w:trPr>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380" w:type="dxa"/>
            <w:vAlign w:val="bottom"/>
            <w:tcBorders>
              <w:top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100" w:type="dxa"/>
            <w:vAlign w:val="bottom"/>
            <w:shd w:val="clear" w:color="auto" w:fill="CCEEFF"/>
          </w:tcPr>
          <w:p>
            <w:pPr>
              <w:spacing w:after="0"/>
              <w:rPr>
                <w:sz w:val="18"/>
                <w:szCs w:val="18"/>
                <w:color w:val="auto"/>
              </w:rPr>
            </w:pPr>
          </w:p>
        </w:tc>
        <w:tc>
          <w:tcPr>
            <w:tcW w:w="66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5840" w:type="dxa"/>
            <w:vAlign w:val="bottom"/>
            <w:gridSpan w:val="20"/>
            <w:shd w:val="clear" w:color="auto" w:fill="CCEEFF"/>
          </w:tcPr>
          <w:p>
            <w:pPr>
              <w:jc w:val="center"/>
              <w:ind w:right="3160"/>
              <w:spacing w:after="0" w:line="189" w:lineRule="exact"/>
              <w:rPr>
                <w:rFonts w:ascii="Arial" w:cs="Arial" w:eastAsia="Arial" w:hAnsi="Arial"/>
                <w:sz w:val="20"/>
                <w:szCs w:val="20"/>
                <w:color w:val="0000EE"/>
                <w:w w:val="92"/>
              </w:rPr>
            </w:pPr>
            <w:hyperlink w:anchor="page3">
              <w:r>
                <w:rPr>
                  <w:rFonts w:ascii="Arial" w:cs="Arial" w:eastAsia="Arial" w:hAnsi="Arial"/>
                  <w:sz w:val="20"/>
                  <w:szCs w:val="20"/>
                  <w:color w:val="0000EE"/>
                  <w:w w:val="92"/>
                </w:rPr>
                <w:t>Part I – Financial Information</w:t>
              </w:r>
            </w:hyperlink>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43"/>
        </w:trPr>
        <w:tc>
          <w:tcPr>
            <w:tcW w:w="100" w:type="dxa"/>
            <w:vAlign w:val="bottom"/>
            <w:tcBorders>
              <w:top w:val="single" w:sz="8" w:color="CCEEFF"/>
            </w:tcBorders>
          </w:tcPr>
          <w:p>
            <w:pPr>
              <w:spacing w:after="0"/>
              <w:rPr>
                <w:sz w:val="21"/>
                <w:szCs w:val="21"/>
                <w:color w:val="auto"/>
              </w:rPr>
            </w:pPr>
          </w:p>
        </w:tc>
        <w:tc>
          <w:tcPr>
            <w:tcW w:w="660" w:type="dxa"/>
            <w:vAlign w:val="bottom"/>
            <w:tcBorders>
              <w:top w:val="single" w:sz="8" w:color="CCEEFF"/>
            </w:tcBorders>
          </w:tcPr>
          <w:p>
            <w:pPr>
              <w:spacing w:after="0"/>
              <w:rPr>
                <w:sz w:val="21"/>
                <w:szCs w:val="21"/>
                <w:color w:val="auto"/>
              </w:rPr>
            </w:pPr>
          </w:p>
        </w:tc>
        <w:tc>
          <w:tcPr>
            <w:tcW w:w="180" w:type="dxa"/>
            <w:vAlign w:val="bottom"/>
            <w:tcBorders>
              <w:top w:val="single" w:sz="8" w:color="CCEEFF"/>
            </w:tcBorders>
          </w:tcPr>
          <w:p>
            <w:pPr>
              <w:spacing w:after="0"/>
              <w:rPr>
                <w:sz w:val="21"/>
                <w:szCs w:val="21"/>
                <w:color w:val="auto"/>
              </w:rPr>
            </w:pPr>
          </w:p>
        </w:tc>
        <w:tc>
          <w:tcPr>
            <w:tcW w:w="140" w:type="dxa"/>
            <w:vAlign w:val="bottom"/>
            <w:tcBorders>
              <w:top w:val="single" w:sz="8" w:color="CCEEFF"/>
            </w:tcBorders>
          </w:tcPr>
          <w:p>
            <w:pPr>
              <w:spacing w:after="0"/>
              <w:rPr>
                <w:sz w:val="21"/>
                <w:szCs w:val="21"/>
                <w:color w:val="auto"/>
              </w:rPr>
            </w:pPr>
          </w:p>
        </w:tc>
        <w:tc>
          <w:tcPr>
            <w:tcW w:w="340" w:type="dxa"/>
            <w:vAlign w:val="bottom"/>
            <w:tcBorders>
              <w:top w:val="single" w:sz="8" w:color="CCEEFF"/>
            </w:tcBorders>
          </w:tcPr>
          <w:p>
            <w:pPr>
              <w:spacing w:after="0"/>
              <w:rPr>
                <w:sz w:val="21"/>
                <w:szCs w:val="21"/>
                <w:color w:val="auto"/>
              </w:rPr>
            </w:pPr>
          </w:p>
        </w:tc>
        <w:tc>
          <w:tcPr>
            <w:tcW w:w="480" w:type="dxa"/>
            <w:vAlign w:val="bottom"/>
            <w:tcBorders>
              <w:top w:val="single" w:sz="8" w:color="CCEEFF"/>
            </w:tcBorders>
          </w:tcPr>
          <w:p>
            <w:pPr>
              <w:spacing w:after="0"/>
              <w:rPr>
                <w:sz w:val="21"/>
                <w:szCs w:val="21"/>
                <w:color w:val="auto"/>
              </w:rPr>
            </w:pPr>
          </w:p>
        </w:tc>
        <w:tc>
          <w:tcPr>
            <w:tcW w:w="340" w:type="dxa"/>
            <w:vAlign w:val="bottom"/>
            <w:tcBorders>
              <w:top w:val="single" w:sz="8" w:color="CCEEFF"/>
            </w:tcBorders>
          </w:tcPr>
          <w:p>
            <w:pPr>
              <w:spacing w:after="0"/>
              <w:rPr>
                <w:sz w:val="21"/>
                <w:szCs w:val="21"/>
                <w:color w:val="auto"/>
              </w:rPr>
            </w:pPr>
          </w:p>
        </w:tc>
        <w:tc>
          <w:tcPr>
            <w:tcW w:w="240" w:type="dxa"/>
            <w:vAlign w:val="bottom"/>
            <w:tcBorders>
              <w:top w:val="single" w:sz="8" w:color="CCEEFF"/>
            </w:tcBorders>
          </w:tcPr>
          <w:p>
            <w:pPr>
              <w:spacing w:after="0"/>
              <w:rPr>
                <w:sz w:val="21"/>
                <w:szCs w:val="21"/>
                <w:color w:val="auto"/>
              </w:rPr>
            </w:pPr>
          </w:p>
        </w:tc>
        <w:tc>
          <w:tcPr>
            <w:tcW w:w="240" w:type="dxa"/>
            <w:vAlign w:val="bottom"/>
            <w:tcBorders>
              <w:top w:val="single" w:sz="8" w:color="CCEEFF"/>
            </w:tcBorders>
          </w:tcPr>
          <w:p>
            <w:pPr>
              <w:spacing w:after="0"/>
              <w:rPr>
                <w:sz w:val="21"/>
                <w:szCs w:val="21"/>
                <w:color w:val="auto"/>
              </w:rPr>
            </w:pPr>
          </w:p>
        </w:tc>
        <w:tc>
          <w:tcPr>
            <w:tcW w:w="920" w:type="dxa"/>
            <w:vAlign w:val="bottom"/>
            <w:tcBorders>
              <w:top w:val="single" w:sz="8" w:color="CCEEFF"/>
            </w:tcBorders>
          </w:tcPr>
          <w:p>
            <w:pPr>
              <w:spacing w:after="0"/>
              <w:rPr>
                <w:sz w:val="21"/>
                <w:szCs w:val="21"/>
                <w:color w:val="auto"/>
              </w:rPr>
            </w:pPr>
          </w:p>
        </w:tc>
        <w:tc>
          <w:tcPr>
            <w:tcW w:w="160" w:type="dxa"/>
            <w:vAlign w:val="bottom"/>
            <w:tcBorders>
              <w:top w:val="single" w:sz="8" w:color="CCEEFF"/>
            </w:tcBorders>
          </w:tcPr>
          <w:p>
            <w:pPr>
              <w:spacing w:after="0"/>
              <w:rPr>
                <w:sz w:val="21"/>
                <w:szCs w:val="21"/>
                <w:color w:val="auto"/>
              </w:rPr>
            </w:pPr>
          </w:p>
        </w:tc>
        <w:tc>
          <w:tcPr>
            <w:tcW w:w="120" w:type="dxa"/>
            <w:vAlign w:val="bottom"/>
            <w:tcBorders>
              <w:top w:val="single" w:sz="8" w:color="0000EE"/>
            </w:tcBorders>
          </w:tcPr>
          <w:p>
            <w:pPr>
              <w:spacing w:after="0"/>
              <w:rPr>
                <w:sz w:val="21"/>
                <w:szCs w:val="21"/>
                <w:color w:val="auto"/>
              </w:rPr>
            </w:pPr>
          </w:p>
        </w:tc>
        <w:tc>
          <w:tcPr>
            <w:tcW w:w="440" w:type="dxa"/>
            <w:vAlign w:val="bottom"/>
            <w:tcBorders>
              <w:top w:val="single" w:sz="8" w:color="0000EE"/>
            </w:tcBorders>
          </w:tcPr>
          <w:p>
            <w:pPr>
              <w:spacing w:after="0"/>
              <w:rPr>
                <w:sz w:val="21"/>
                <w:szCs w:val="21"/>
                <w:color w:val="auto"/>
              </w:rPr>
            </w:pPr>
          </w:p>
        </w:tc>
        <w:tc>
          <w:tcPr>
            <w:tcW w:w="180" w:type="dxa"/>
            <w:vAlign w:val="bottom"/>
            <w:tcBorders>
              <w:top w:val="single" w:sz="8" w:color="0000EE"/>
            </w:tcBorders>
          </w:tcPr>
          <w:p>
            <w:pPr>
              <w:spacing w:after="0"/>
              <w:rPr>
                <w:sz w:val="21"/>
                <w:szCs w:val="21"/>
                <w:color w:val="auto"/>
              </w:rPr>
            </w:pPr>
          </w:p>
        </w:tc>
        <w:tc>
          <w:tcPr>
            <w:tcW w:w="60" w:type="dxa"/>
            <w:vAlign w:val="bottom"/>
            <w:tcBorders>
              <w:top w:val="single" w:sz="8" w:color="0000EE"/>
            </w:tcBorders>
          </w:tcPr>
          <w:p>
            <w:pPr>
              <w:spacing w:after="0"/>
              <w:rPr>
                <w:sz w:val="21"/>
                <w:szCs w:val="21"/>
                <w:color w:val="auto"/>
              </w:rPr>
            </w:pPr>
          </w:p>
        </w:tc>
        <w:tc>
          <w:tcPr>
            <w:tcW w:w="340" w:type="dxa"/>
            <w:vAlign w:val="bottom"/>
            <w:tcBorders>
              <w:top w:val="single" w:sz="8" w:color="0000EE"/>
            </w:tcBorders>
          </w:tcPr>
          <w:p>
            <w:pPr>
              <w:spacing w:after="0"/>
              <w:rPr>
                <w:sz w:val="21"/>
                <w:szCs w:val="21"/>
                <w:color w:val="auto"/>
              </w:rPr>
            </w:pPr>
          </w:p>
        </w:tc>
        <w:tc>
          <w:tcPr>
            <w:tcW w:w="80" w:type="dxa"/>
            <w:vAlign w:val="bottom"/>
            <w:tcBorders>
              <w:top w:val="single" w:sz="8" w:color="0000EE"/>
            </w:tcBorders>
          </w:tcPr>
          <w:p>
            <w:pPr>
              <w:spacing w:after="0"/>
              <w:rPr>
                <w:sz w:val="21"/>
                <w:szCs w:val="21"/>
                <w:color w:val="auto"/>
              </w:rPr>
            </w:pPr>
          </w:p>
        </w:tc>
        <w:tc>
          <w:tcPr>
            <w:tcW w:w="80" w:type="dxa"/>
            <w:vAlign w:val="bottom"/>
            <w:tcBorders>
              <w:top w:val="single" w:sz="8" w:color="0000EE"/>
            </w:tcBorders>
          </w:tcPr>
          <w:p>
            <w:pPr>
              <w:spacing w:after="0"/>
              <w:rPr>
                <w:sz w:val="21"/>
                <w:szCs w:val="21"/>
                <w:color w:val="auto"/>
              </w:rPr>
            </w:pPr>
          </w:p>
        </w:tc>
        <w:tc>
          <w:tcPr>
            <w:tcW w:w="60" w:type="dxa"/>
            <w:vAlign w:val="bottom"/>
            <w:tcBorders>
              <w:top w:val="single" w:sz="8" w:color="0000EE"/>
            </w:tcBorders>
          </w:tcPr>
          <w:p>
            <w:pPr>
              <w:spacing w:after="0"/>
              <w:rPr>
                <w:sz w:val="21"/>
                <w:szCs w:val="21"/>
                <w:color w:val="auto"/>
              </w:rPr>
            </w:pPr>
          </w:p>
        </w:tc>
        <w:tc>
          <w:tcPr>
            <w:tcW w:w="20" w:type="dxa"/>
            <w:vAlign w:val="bottom"/>
            <w:tcBorders>
              <w:top w:val="single" w:sz="8" w:color="0000EE"/>
            </w:tcBorders>
          </w:tcPr>
          <w:p>
            <w:pPr>
              <w:spacing w:after="0"/>
              <w:rPr>
                <w:sz w:val="21"/>
                <w:szCs w:val="21"/>
                <w:color w:val="auto"/>
              </w:rPr>
            </w:pPr>
          </w:p>
        </w:tc>
        <w:tc>
          <w:tcPr>
            <w:tcW w:w="20" w:type="dxa"/>
            <w:vAlign w:val="bottom"/>
            <w:tcBorders>
              <w:top w:val="single" w:sz="8" w:color="0000EE"/>
            </w:tcBorders>
          </w:tcPr>
          <w:p>
            <w:pPr>
              <w:spacing w:after="0"/>
              <w:rPr>
                <w:sz w:val="21"/>
                <w:szCs w:val="21"/>
                <w:color w:val="auto"/>
              </w:rPr>
            </w:pPr>
          </w:p>
        </w:tc>
        <w:tc>
          <w:tcPr>
            <w:tcW w:w="260" w:type="dxa"/>
            <w:vAlign w:val="bottom"/>
            <w:tcBorders>
              <w:top w:val="single" w:sz="8" w:color="0000EE"/>
            </w:tcBorders>
          </w:tcPr>
          <w:p>
            <w:pPr>
              <w:spacing w:after="0"/>
              <w:rPr>
                <w:sz w:val="21"/>
                <w:szCs w:val="21"/>
                <w:color w:val="auto"/>
              </w:rPr>
            </w:pPr>
          </w:p>
        </w:tc>
        <w:tc>
          <w:tcPr>
            <w:tcW w:w="80" w:type="dxa"/>
            <w:vAlign w:val="bottom"/>
            <w:tcBorders>
              <w:top w:val="single" w:sz="8" w:color="0000EE"/>
            </w:tcBorders>
          </w:tcPr>
          <w:p>
            <w:pPr>
              <w:spacing w:after="0"/>
              <w:rPr>
                <w:sz w:val="21"/>
                <w:szCs w:val="21"/>
                <w:color w:val="auto"/>
              </w:rPr>
            </w:pPr>
          </w:p>
        </w:tc>
        <w:tc>
          <w:tcPr>
            <w:tcW w:w="20" w:type="dxa"/>
            <w:vAlign w:val="bottom"/>
            <w:tcBorders>
              <w:top w:val="single" w:sz="8" w:color="0000EE"/>
            </w:tcBorders>
          </w:tcPr>
          <w:p>
            <w:pPr>
              <w:spacing w:after="0"/>
              <w:rPr>
                <w:sz w:val="21"/>
                <w:szCs w:val="21"/>
                <w:color w:val="auto"/>
              </w:rPr>
            </w:pPr>
          </w:p>
        </w:tc>
        <w:tc>
          <w:tcPr>
            <w:tcW w:w="380" w:type="dxa"/>
            <w:vAlign w:val="bottom"/>
            <w:tcBorders>
              <w:top w:val="single" w:sz="8" w:color="0000EE"/>
            </w:tcBorders>
          </w:tcPr>
          <w:p>
            <w:pPr>
              <w:spacing w:after="0"/>
              <w:rPr>
                <w:sz w:val="21"/>
                <w:szCs w:val="21"/>
                <w:color w:val="auto"/>
              </w:rPr>
            </w:pPr>
          </w:p>
        </w:tc>
        <w:tc>
          <w:tcPr>
            <w:tcW w:w="40" w:type="dxa"/>
            <w:vAlign w:val="bottom"/>
            <w:tcBorders>
              <w:top w:val="single" w:sz="8" w:color="0000EE"/>
            </w:tcBorders>
          </w:tcPr>
          <w:p>
            <w:pPr>
              <w:spacing w:after="0"/>
              <w:rPr>
                <w:sz w:val="21"/>
                <w:szCs w:val="21"/>
                <w:color w:val="auto"/>
              </w:rPr>
            </w:pPr>
          </w:p>
        </w:tc>
        <w:tc>
          <w:tcPr>
            <w:tcW w:w="80" w:type="dxa"/>
            <w:vAlign w:val="bottom"/>
            <w:tcBorders>
              <w:top w:val="single" w:sz="8" w:color="0000EE"/>
            </w:tcBorders>
          </w:tcPr>
          <w:p>
            <w:pPr>
              <w:spacing w:after="0"/>
              <w:rPr>
                <w:sz w:val="21"/>
                <w:szCs w:val="21"/>
                <w:color w:val="auto"/>
              </w:rPr>
            </w:pPr>
          </w:p>
        </w:tc>
        <w:tc>
          <w:tcPr>
            <w:tcW w:w="100" w:type="dxa"/>
            <w:vAlign w:val="bottom"/>
            <w:tcBorders>
              <w:top w:val="single" w:sz="8" w:color="0000EE"/>
            </w:tcBorders>
          </w:tcPr>
          <w:p>
            <w:pPr>
              <w:spacing w:after="0"/>
              <w:rPr>
                <w:sz w:val="21"/>
                <w:szCs w:val="21"/>
                <w:color w:val="auto"/>
              </w:rPr>
            </w:pPr>
          </w:p>
        </w:tc>
        <w:tc>
          <w:tcPr>
            <w:tcW w:w="1580" w:type="dxa"/>
            <w:vAlign w:val="bottom"/>
            <w:tcBorders>
              <w:top w:val="single" w:sz="8" w:color="CCEEFF"/>
            </w:tcBorders>
          </w:tcPr>
          <w:p>
            <w:pPr>
              <w:spacing w:after="0"/>
              <w:rPr>
                <w:sz w:val="21"/>
                <w:szCs w:val="21"/>
                <w:color w:val="auto"/>
              </w:rPr>
            </w:pPr>
          </w:p>
        </w:tc>
        <w:tc>
          <w:tcPr>
            <w:tcW w:w="1740" w:type="dxa"/>
            <w:vAlign w:val="bottom"/>
            <w:tcBorders>
              <w:top w:val="single" w:sz="8" w:color="CCEEFF"/>
            </w:tcBorders>
          </w:tcPr>
          <w:p>
            <w:pPr>
              <w:spacing w:after="0"/>
              <w:rPr>
                <w:sz w:val="21"/>
                <w:szCs w:val="21"/>
                <w:color w:val="auto"/>
              </w:rPr>
            </w:pPr>
          </w:p>
        </w:tc>
        <w:tc>
          <w:tcPr>
            <w:tcW w:w="380" w:type="dxa"/>
            <w:vAlign w:val="bottom"/>
            <w:tcBorders>
              <w:top w:val="single" w:sz="8" w:color="CCEEFF"/>
            </w:tcBorders>
          </w:tcPr>
          <w:p>
            <w:pPr>
              <w:spacing w:after="0"/>
              <w:rPr>
                <w:sz w:val="21"/>
                <w:szCs w:val="21"/>
                <w:color w:val="auto"/>
              </w:rPr>
            </w:pPr>
          </w:p>
        </w:tc>
        <w:tc>
          <w:tcPr>
            <w:tcW w:w="120" w:type="dxa"/>
            <w:vAlign w:val="bottom"/>
            <w:tcBorders>
              <w:top w:val="single" w:sz="8" w:color="CCEEFF"/>
            </w:tcBorders>
          </w:tcPr>
          <w:p>
            <w:pPr>
              <w:spacing w:after="0"/>
              <w:rPr>
                <w:sz w:val="21"/>
                <w:szCs w:val="21"/>
                <w:color w:val="auto"/>
              </w:rPr>
            </w:pPr>
          </w:p>
        </w:tc>
      </w:tr>
      <w:tr>
        <w:trPr>
          <w:trHeight w:val="223"/>
        </w:trPr>
        <w:tc>
          <w:tcPr>
            <w:tcW w:w="100" w:type="dxa"/>
            <w:vAlign w:val="bottom"/>
            <w:shd w:val="clear" w:color="auto" w:fill="CCEEFF"/>
          </w:tcPr>
          <w:p>
            <w:pPr>
              <w:spacing w:after="0"/>
              <w:rPr>
                <w:sz w:val="19"/>
                <w:szCs w:val="19"/>
                <w:color w:val="auto"/>
              </w:rPr>
            </w:pPr>
          </w:p>
        </w:tc>
        <w:tc>
          <w:tcPr>
            <w:tcW w:w="660" w:type="dxa"/>
            <w:vAlign w:val="bottom"/>
            <w:tcBorders>
              <w:right w:val="single" w:sz="8" w:color="CCEEFF"/>
            </w:tcBorders>
            <w:shd w:val="clear" w:color="auto" w:fill="CCEEFF"/>
          </w:tcPr>
          <w:p>
            <w:pPr>
              <w:spacing w:after="0" w:line="203" w:lineRule="exact"/>
              <w:rPr>
                <w:rFonts w:ascii="Arial" w:cs="Arial" w:eastAsia="Arial" w:hAnsi="Arial"/>
                <w:sz w:val="20"/>
                <w:szCs w:val="20"/>
                <w:color w:val="0000EE"/>
              </w:rPr>
            </w:pPr>
            <w:hyperlink w:anchor="page3">
              <w:r>
                <w:rPr>
                  <w:rFonts w:ascii="Arial" w:cs="Arial" w:eastAsia="Arial" w:hAnsi="Arial"/>
                  <w:sz w:val="20"/>
                  <w:szCs w:val="20"/>
                  <w:color w:val="0000EE"/>
                </w:rPr>
                <w:t>Item 1.</w:t>
              </w:r>
            </w:hyperlink>
          </w:p>
        </w:tc>
        <w:tc>
          <w:tcPr>
            <w:tcW w:w="8720" w:type="dxa"/>
            <w:vAlign w:val="bottom"/>
            <w:gridSpan w:val="28"/>
            <w:shd w:val="clear" w:color="auto" w:fill="CCEEFF"/>
          </w:tcPr>
          <w:p>
            <w:pPr>
              <w:spacing w:after="0" w:line="203" w:lineRule="exact"/>
              <w:rPr>
                <w:rFonts w:ascii="Arial" w:cs="Arial" w:eastAsia="Arial" w:hAnsi="Arial"/>
                <w:sz w:val="20"/>
                <w:szCs w:val="20"/>
                <w:color w:val="0000EE"/>
              </w:rPr>
            </w:pPr>
            <w:hyperlink w:anchor="page3">
              <w:r>
                <w:rPr>
                  <w:rFonts w:ascii="Arial" w:cs="Arial" w:eastAsia="Arial" w:hAnsi="Arial"/>
                  <w:sz w:val="20"/>
                  <w:szCs w:val="20"/>
                  <w:color w:val="0000EE"/>
                </w:rPr>
                <w:t>Financial Statements:</w:t>
              </w:r>
            </w:hyperlink>
          </w:p>
        </w:tc>
        <w:tc>
          <w:tcPr>
            <w:tcW w:w="3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r>
      <w:tr>
        <w:trPr>
          <w:trHeight w:val="243"/>
        </w:trPr>
        <w:tc>
          <w:tcPr>
            <w:tcW w:w="100" w:type="dxa"/>
            <w:vAlign w:val="bottom"/>
            <w:tcBorders>
              <w:top w:val="single" w:sz="8" w:color="CCEEFF"/>
            </w:tcBorders>
          </w:tcPr>
          <w:p>
            <w:pPr>
              <w:spacing w:after="0"/>
              <w:rPr>
                <w:sz w:val="21"/>
                <w:szCs w:val="21"/>
                <w:color w:val="auto"/>
              </w:rPr>
            </w:pPr>
          </w:p>
        </w:tc>
        <w:tc>
          <w:tcPr>
            <w:tcW w:w="660" w:type="dxa"/>
            <w:vAlign w:val="bottom"/>
            <w:tcBorders>
              <w:top w:val="single" w:sz="8" w:color="0000EE"/>
            </w:tcBorders>
          </w:tcPr>
          <w:p>
            <w:pPr>
              <w:spacing w:after="0"/>
              <w:rPr>
                <w:sz w:val="21"/>
                <w:szCs w:val="21"/>
                <w:color w:val="auto"/>
              </w:rPr>
            </w:pPr>
          </w:p>
        </w:tc>
        <w:tc>
          <w:tcPr>
            <w:tcW w:w="180" w:type="dxa"/>
            <w:vAlign w:val="bottom"/>
            <w:tcBorders>
              <w:top w:val="single" w:sz="8" w:color="0000EE"/>
            </w:tcBorders>
          </w:tcPr>
          <w:p>
            <w:pPr>
              <w:spacing w:after="0"/>
              <w:rPr>
                <w:sz w:val="21"/>
                <w:szCs w:val="21"/>
                <w:color w:val="auto"/>
              </w:rPr>
            </w:pPr>
          </w:p>
        </w:tc>
        <w:tc>
          <w:tcPr>
            <w:tcW w:w="140" w:type="dxa"/>
            <w:vAlign w:val="bottom"/>
            <w:tcBorders>
              <w:top w:val="single" w:sz="8" w:color="0000EE"/>
            </w:tcBorders>
          </w:tcPr>
          <w:p>
            <w:pPr>
              <w:spacing w:after="0"/>
              <w:rPr>
                <w:sz w:val="21"/>
                <w:szCs w:val="21"/>
                <w:color w:val="auto"/>
              </w:rPr>
            </w:pPr>
          </w:p>
        </w:tc>
        <w:tc>
          <w:tcPr>
            <w:tcW w:w="340" w:type="dxa"/>
            <w:vAlign w:val="bottom"/>
            <w:tcBorders>
              <w:top w:val="single" w:sz="8" w:color="0000EE"/>
            </w:tcBorders>
          </w:tcPr>
          <w:p>
            <w:pPr>
              <w:spacing w:after="0"/>
              <w:rPr>
                <w:sz w:val="21"/>
                <w:szCs w:val="21"/>
                <w:color w:val="auto"/>
              </w:rPr>
            </w:pPr>
          </w:p>
        </w:tc>
        <w:tc>
          <w:tcPr>
            <w:tcW w:w="480" w:type="dxa"/>
            <w:vAlign w:val="bottom"/>
            <w:tcBorders>
              <w:top w:val="single" w:sz="8" w:color="0000EE"/>
            </w:tcBorders>
          </w:tcPr>
          <w:p>
            <w:pPr>
              <w:spacing w:after="0"/>
              <w:rPr>
                <w:sz w:val="21"/>
                <w:szCs w:val="21"/>
                <w:color w:val="auto"/>
              </w:rPr>
            </w:pPr>
          </w:p>
        </w:tc>
        <w:tc>
          <w:tcPr>
            <w:tcW w:w="340" w:type="dxa"/>
            <w:vAlign w:val="bottom"/>
            <w:tcBorders>
              <w:top w:val="single" w:sz="8" w:color="0000EE"/>
            </w:tcBorders>
          </w:tcPr>
          <w:p>
            <w:pPr>
              <w:spacing w:after="0"/>
              <w:rPr>
                <w:sz w:val="21"/>
                <w:szCs w:val="21"/>
                <w:color w:val="auto"/>
              </w:rPr>
            </w:pPr>
          </w:p>
        </w:tc>
        <w:tc>
          <w:tcPr>
            <w:tcW w:w="240" w:type="dxa"/>
            <w:vAlign w:val="bottom"/>
            <w:tcBorders>
              <w:top w:val="single" w:sz="8" w:color="0000EE"/>
            </w:tcBorders>
          </w:tcPr>
          <w:p>
            <w:pPr>
              <w:spacing w:after="0"/>
              <w:rPr>
                <w:sz w:val="21"/>
                <w:szCs w:val="21"/>
                <w:color w:val="auto"/>
              </w:rPr>
            </w:pPr>
          </w:p>
        </w:tc>
        <w:tc>
          <w:tcPr>
            <w:tcW w:w="240" w:type="dxa"/>
            <w:vAlign w:val="bottom"/>
            <w:tcBorders>
              <w:top w:val="single" w:sz="8" w:color="CCEEFF"/>
            </w:tcBorders>
          </w:tcPr>
          <w:p>
            <w:pPr>
              <w:spacing w:after="0"/>
              <w:rPr>
                <w:sz w:val="21"/>
                <w:szCs w:val="21"/>
                <w:color w:val="auto"/>
              </w:rPr>
            </w:pPr>
          </w:p>
        </w:tc>
        <w:tc>
          <w:tcPr>
            <w:tcW w:w="920" w:type="dxa"/>
            <w:vAlign w:val="bottom"/>
            <w:tcBorders>
              <w:top w:val="single" w:sz="8" w:color="CCEEFF"/>
            </w:tcBorders>
          </w:tcPr>
          <w:p>
            <w:pPr>
              <w:spacing w:after="0"/>
              <w:rPr>
                <w:sz w:val="21"/>
                <w:szCs w:val="21"/>
                <w:color w:val="auto"/>
              </w:rPr>
            </w:pPr>
          </w:p>
        </w:tc>
        <w:tc>
          <w:tcPr>
            <w:tcW w:w="160" w:type="dxa"/>
            <w:vAlign w:val="bottom"/>
            <w:tcBorders>
              <w:top w:val="single" w:sz="8" w:color="CCEEFF"/>
            </w:tcBorders>
          </w:tcPr>
          <w:p>
            <w:pPr>
              <w:spacing w:after="0"/>
              <w:rPr>
                <w:sz w:val="21"/>
                <w:szCs w:val="21"/>
                <w:color w:val="auto"/>
              </w:rPr>
            </w:pPr>
          </w:p>
        </w:tc>
        <w:tc>
          <w:tcPr>
            <w:tcW w:w="120" w:type="dxa"/>
            <w:vAlign w:val="bottom"/>
            <w:tcBorders>
              <w:top w:val="single" w:sz="8" w:color="CCEEFF"/>
            </w:tcBorders>
          </w:tcPr>
          <w:p>
            <w:pPr>
              <w:spacing w:after="0"/>
              <w:rPr>
                <w:sz w:val="21"/>
                <w:szCs w:val="21"/>
                <w:color w:val="auto"/>
              </w:rPr>
            </w:pPr>
          </w:p>
        </w:tc>
        <w:tc>
          <w:tcPr>
            <w:tcW w:w="440" w:type="dxa"/>
            <w:vAlign w:val="bottom"/>
            <w:tcBorders>
              <w:top w:val="single" w:sz="8" w:color="CCEEFF"/>
            </w:tcBorders>
          </w:tcPr>
          <w:p>
            <w:pPr>
              <w:spacing w:after="0"/>
              <w:rPr>
                <w:sz w:val="21"/>
                <w:szCs w:val="21"/>
                <w:color w:val="auto"/>
              </w:rPr>
            </w:pPr>
          </w:p>
        </w:tc>
        <w:tc>
          <w:tcPr>
            <w:tcW w:w="180" w:type="dxa"/>
            <w:vAlign w:val="bottom"/>
            <w:tcBorders>
              <w:top w:val="single" w:sz="8" w:color="CCEEFF"/>
            </w:tcBorders>
          </w:tcPr>
          <w:p>
            <w:pPr>
              <w:spacing w:after="0"/>
              <w:rPr>
                <w:sz w:val="21"/>
                <w:szCs w:val="21"/>
                <w:color w:val="auto"/>
              </w:rPr>
            </w:pPr>
          </w:p>
        </w:tc>
        <w:tc>
          <w:tcPr>
            <w:tcW w:w="60" w:type="dxa"/>
            <w:vAlign w:val="bottom"/>
            <w:tcBorders>
              <w:top w:val="single" w:sz="8" w:color="CCEEFF"/>
            </w:tcBorders>
          </w:tcPr>
          <w:p>
            <w:pPr>
              <w:spacing w:after="0"/>
              <w:rPr>
                <w:sz w:val="21"/>
                <w:szCs w:val="21"/>
                <w:color w:val="auto"/>
              </w:rPr>
            </w:pPr>
          </w:p>
        </w:tc>
        <w:tc>
          <w:tcPr>
            <w:tcW w:w="340" w:type="dxa"/>
            <w:vAlign w:val="bottom"/>
            <w:tcBorders>
              <w:top w:val="single" w:sz="8" w:color="CCEEFF"/>
            </w:tcBorders>
          </w:tcPr>
          <w:p>
            <w:pPr>
              <w:spacing w:after="0"/>
              <w:rPr>
                <w:sz w:val="21"/>
                <w:szCs w:val="21"/>
                <w:color w:val="auto"/>
              </w:rPr>
            </w:pPr>
          </w:p>
        </w:tc>
        <w:tc>
          <w:tcPr>
            <w:tcW w:w="80" w:type="dxa"/>
            <w:vAlign w:val="bottom"/>
            <w:tcBorders>
              <w:top w:val="single" w:sz="8" w:color="CCEEFF"/>
            </w:tcBorders>
          </w:tcPr>
          <w:p>
            <w:pPr>
              <w:spacing w:after="0"/>
              <w:rPr>
                <w:sz w:val="21"/>
                <w:szCs w:val="21"/>
                <w:color w:val="auto"/>
              </w:rPr>
            </w:pPr>
          </w:p>
        </w:tc>
        <w:tc>
          <w:tcPr>
            <w:tcW w:w="80" w:type="dxa"/>
            <w:vAlign w:val="bottom"/>
            <w:tcBorders>
              <w:top w:val="single" w:sz="8" w:color="CCEEFF"/>
            </w:tcBorders>
          </w:tcPr>
          <w:p>
            <w:pPr>
              <w:spacing w:after="0"/>
              <w:rPr>
                <w:sz w:val="21"/>
                <w:szCs w:val="21"/>
                <w:color w:val="auto"/>
              </w:rPr>
            </w:pPr>
          </w:p>
        </w:tc>
        <w:tc>
          <w:tcPr>
            <w:tcW w:w="60" w:type="dxa"/>
            <w:vAlign w:val="bottom"/>
            <w:tcBorders>
              <w:top w:val="single" w:sz="8" w:color="CCEEFF"/>
            </w:tcBorders>
          </w:tcPr>
          <w:p>
            <w:pPr>
              <w:spacing w:after="0"/>
              <w:rPr>
                <w:sz w:val="21"/>
                <w:szCs w:val="21"/>
                <w:color w:val="auto"/>
              </w:rPr>
            </w:pPr>
          </w:p>
        </w:tc>
        <w:tc>
          <w:tcPr>
            <w:tcW w:w="20" w:type="dxa"/>
            <w:vAlign w:val="bottom"/>
            <w:tcBorders>
              <w:top w:val="single" w:sz="8" w:color="CCEEFF"/>
            </w:tcBorders>
          </w:tcPr>
          <w:p>
            <w:pPr>
              <w:spacing w:after="0"/>
              <w:rPr>
                <w:sz w:val="21"/>
                <w:szCs w:val="21"/>
                <w:color w:val="auto"/>
              </w:rPr>
            </w:pPr>
          </w:p>
        </w:tc>
        <w:tc>
          <w:tcPr>
            <w:tcW w:w="20" w:type="dxa"/>
            <w:vAlign w:val="bottom"/>
            <w:tcBorders>
              <w:top w:val="single" w:sz="8" w:color="CCEEFF"/>
            </w:tcBorders>
          </w:tcPr>
          <w:p>
            <w:pPr>
              <w:spacing w:after="0"/>
              <w:rPr>
                <w:sz w:val="21"/>
                <w:szCs w:val="21"/>
                <w:color w:val="auto"/>
              </w:rPr>
            </w:pPr>
          </w:p>
        </w:tc>
        <w:tc>
          <w:tcPr>
            <w:tcW w:w="260" w:type="dxa"/>
            <w:vAlign w:val="bottom"/>
            <w:tcBorders>
              <w:top w:val="single" w:sz="8" w:color="CCEEFF"/>
            </w:tcBorders>
          </w:tcPr>
          <w:p>
            <w:pPr>
              <w:spacing w:after="0"/>
              <w:rPr>
                <w:sz w:val="21"/>
                <w:szCs w:val="21"/>
                <w:color w:val="auto"/>
              </w:rPr>
            </w:pPr>
          </w:p>
        </w:tc>
        <w:tc>
          <w:tcPr>
            <w:tcW w:w="80" w:type="dxa"/>
            <w:vAlign w:val="bottom"/>
            <w:tcBorders>
              <w:top w:val="single" w:sz="8" w:color="CCEEFF"/>
            </w:tcBorders>
          </w:tcPr>
          <w:p>
            <w:pPr>
              <w:spacing w:after="0"/>
              <w:rPr>
                <w:sz w:val="21"/>
                <w:szCs w:val="21"/>
                <w:color w:val="auto"/>
              </w:rPr>
            </w:pPr>
          </w:p>
        </w:tc>
        <w:tc>
          <w:tcPr>
            <w:tcW w:w="20" w:type="dxa"/>
            <w:vAlign w:val="bottom"/>
            <w:tcBorders>
              <w:top w:val="single" w:sz="8" w:color="CCEEFF"/>
            </w:tcBorders>
          </w:tcPr>
          <w:p>
            <w:pPr>
              <w:spacing w:after="0"/>
              <w:rPr>
                <w:sz w:val="21"/>
                <w:szCs w:val="21"/>
                <w:color w:val="auto"/>
              </w:rPr>
            </w:pPr>
          </w:p>
        </w:tc>
        <w:tc>
          <w:tcPr>
            <w:tcW w:w="380" w:type="dxa"/>
            <w:vAlign w:val="bottom"/>
            <w:tcBorders>
              <w:top w:val="single" w:sz="8" w:color="CCEEFF"/>
            </w:tcBorders>
          </w:tcPr>
          <w:p>
            <w:pPr>
              <w:spacing w:after="0"/>
              <w:rPr>
                <w:sz w:val="21"/>
                <w:szCs w:val="21"/>
                <w:color w:val="auto"/>
              </w:rPr>
            </w:pPr>
          </w:p>
        </w:tc>
        <w:tc>
          <w:tcPr>
            <w:tcW w:w="40" w:type="dxa"/>
            <w:vAlign w:val="bottom"/>
            <w:tcBorders>
              <w:top w:val="single" w:sz="8" w:color="CCEEFF"/>
            </w:tcBorders>
          </w:tcPr>
          <w:p>
            <w:pPr>
              <w:spacing w:after="0"/>
              <w:rPr>
                <w:sz w:val="21"/>
                <w:szCs w:val="21"/>
                <w:color w:val="auto"/>
              </w:rPr>
            </w:pPr>
          </w:p>
        </w:tc>
        <w:tc>
          <w:tcPr>
            <w:tcW w:w="80" w:type="dxa"/>
            <w:vAlign w:val="bottom"/>
            <w:tcBorders>
              <w:top w:val="single" w:sz="8" w:color="CCEEFF"/>
            </w:tcBorders>
          </w:tcPr>
          <w:p>
            <w:pPr>
              <w:spacing w:after="0"/>
              <w:rPr>
                <w:sz w:val="21"/>
                <w:szCs w:val="21"/>
                <w:color w:val="auto"/>
              </w:rPr>
            </w:pPr>
          </w:p>
        </w:tc>
        <w:tc>
          <w:tcPr>
            <w:tcW w:w="100" w:type="dxa"/>
            <w:vAlign w:val="bottom"/>
            <w:tcBorders>
              <w:top w:val="single" w:sz="8" w:color="CCEEFF"/>
            </w:tcBorders>
          </w:tcPr>
          <w:p>
            <w:pPr>
              <w:spacing w:after="0"/>
              <w:rPr>
                <w:sz w:val="21"/>
                <w:szCs w:val="21"/>
                <w:color w:val="auto"/>
              </w:rPr>
            </w:pPr>
          </w:p>
        </w:tc>
        <w:tc>
          <w:tcPr>
            <w:tcW w:w="1580" w:type="dxa"/>
            <w:vAlign w:val="bottom"/>
            <w:tcBorders>
              <w:top w:val="single" w:sz="8" w:color="CCEEFF"/>
            </w:tcBorders>
          </w:tcPr>
          <w:p>
            <w:pPr>
              <w:spacing w:after="0"/>
              <w:rPr>
                <w:sz w:val="21"/>
                <w:szCs w:val="21"/>
                <w:color w:val="auto"/>
              </w:rPr>
            </w:pPr>
          </w:p>
        </w:tc>
        <w:tc>
          <w:tcPr>
            <w:tcW w:w="1740" w:type="dxa"/>
            <w:vAlign w:val="bottom"/>
            <w:tcBorders>
              <w:top w:val="single" w:sz="8" w:color="CCEEFF"/>
            </w:tcBorders>
          </w:tcPr>
          <w:p>
            <w:pPr>
              <w:spacing w:after="0"/>
              <w:rPr>
                <w:sz w:val="21"/>
                <w:szCs w:val="21"/>
                <w:color w:val="auto"/>
              </w:rPr>
            </w:pPr>
          </w:p>
        </w:tc>
        <w:tc>
          <w:tcPr>
            <w:tcW w:w="380" w:type="dxa"/>
            <w:vAlign w:val="bottom"/>
            <w:tcBorders>
              <w:top w:val="single" w:sz="8" w:color="CCEEFF"/>
            </w:tcBorders>
          </w:tcPr>
          <w:p>
            <w:pPr>
              <w:spacing w:after="0"/>
              <w:rPr>
                <w:sz w:val="21"/>
                <w:szCs w:val="21"/>
                <w:color w:val="auto"/>
              </w:rPr>
            </w:pPr>
          </w:p>
        </w:tc>
        <w:tc>
          <w:tcPr>
            <w:tcW w:w="120" w:type="dxa"/>
            <w:vAlign w:val="bottom"/>
            <w:tcBorders>
              <w:top w:val="single" w:sz="8" w:color="CCEEFF"/>
            </w:tcBorders>
          </w:tcPr>
          <w:p>
            <w:pPr>
              <w:spacing w:after="0"/>
              <w:rPr>
                <w:sz w:val="21"/>
                <w:szCs w:val="21"/>
                <w:color w:val="auto"/>
              </w:rPr>
            </w:pPr>
          </w:p>
        </w:tc>
      </w:tr>
      <w:tr>
        <w:trPr>
          <w:trHeight w:val="210"/>
        </w:trPr>
        <w:tc>
          <w:tcPr>
            <w:tcW w:w="100" w:type="dxa"/>
            <w:vAlign w:val="bottom"/>
            <w:shd w:val="clear" w:color="auto" w:fill="CCEEFF"/>
          </w:tcPr>
          <w:p>
            <w:pPr>
              <w:spacing w:after="0"/>
              <w:rPr>
                <w:sz w:val="18"/>
                <w:szCs w:val="18"/>
                <w:color w:val="auto"/>
              </w:rPr>
            </w:pPr>
          </w:p>
        </w:tc>
        <w:tc>
          <w:tcPr>
            <w:tcW w:w="660" w:type="dxa"/>
            <w:vAlign w:val="bottom"/>
            <w:tcBorders>
              <w:right w:val="single" w:sz="8" w:color="CCEEFF"/>
            </w:tcBorders>
            <w:shd w:val="clear" w:color="auto" w:fill="CCEEFF"/>
          </w:tcPr>
          <w:p>
            <w:pPr>
              <w:spacing w:after="0"/>
              <w:rPr>
                <w:sz w:val="18"/>
                <w:szCs w:val="18"/>
                <w:color w:val="auto"/>
              </w:rPr>
            </w:pPr>
          </w:p>
        </w:tc>
        <w:tc>
          <w:tcPr>
            <w:tcW w:w="8720" w:type="dxa"/>
            <w:vAlign w:val="bottom"/>
            <w:gridSpan w:val="28"/>
            <w:shd w:val="clear" w:color="auto" w:fill="CCEEFF"/>
          </w:tcPr>
          <w:p>
            <w:pPr>
              <w:spacing w:after="0" w:line="189" w:lineRule="exact"/>
              <w:rPr>
                <w:rFonts w:ascii="Arial" w:cs="Arial" w:eastAsia="Arial" w:hAnsi="Arial"/>
                <w:sz w:val="20"/>
                <w:szCs w:val="20"/>
                <w:color w:val="0000EE"/>
              </w:rPr>
            </w:pPr>
            <w:hyperlink w:anchor="page3">
              <w:r>
                <w:rPr>
                  <w:rFonts w:ascii="Arial" w:cs="Arial" w:eastAsia="Arial" w:hAnsi="Arial"/>
                  <w:sz w:val="20"/>
                  <w:szCs w:val="20"/>
                  <w:color w:val="0000EE"/>
                </w:rPr>
                <w:t>Consolidated Balance Sheets (unaudited) – September 30, 2018 and December 31, 2017</w:t>
              </w:r>
            </w:hyperlink>
          </w:p>
        </w:tc>
        <w:tc>
          <w:tcPr>
            <w:tcW w:w="500" w:type="dxa"/>
            <w:vAlign w:val="bottom"/>
            <w:gridSpan w:val="2"/>
            <w:shd w:val="clear" w:color="auto" w:fill="CCEEFF"/>
          </w:tcPr>
          <w:p>
            <w:pPr>
              <w:jc w:val="right"/>
              <w:ind w:right="40"/>
              <w:spacing w:after="0" w:line="189" w:lineRule="exact"/>
              <w:rPr>
                <w:sz w:val="20"/>
                <w:szCs w:val="20"/>
                <w:color w:val="auto"/>
              </w:rPr>
            </w:pPr>
            <w:r>
              <w:rPr>
                <w:rFonts w:ascii="Arial" w:cs="Arial" w:eastAsia="Arial" w:hAnsi="Arial"/>
                <w:sz w:val="20"/>
                <w:szCs w:val="20"/>
                <w:color w:val="auto"/>
              </w:rPr>
              <w:t>2</w:t>
            </w:r>
          </w:p>
        </w:tc>
      </w:tr>
      <w:tr>
        <w:trPr>
          <w:trHeight w:val="243"/>
        </w:trPr>
        <w:tc>
          <w:tcPr>
            <w:tcW w:w="100" w:type="dxa"/>
            <w:vAlign w:val="bottom"/>
            <w:tcBorders>
              <w:top w:val="single" w:sz="8" w:color="CCEEFF"/>
            </w:tcBorders>
          </w:tcPr>
          <w:p>
            <w:pPr>
              <w:spacing w:after="0"/>
              <w:rPr>
                <w:sz w:val="21"/>
                <w:szCs w:val="21"/>
                <w:color w:val="auto"/>
              </w:rPr>
            </w:pPr>
          </w:p>
        </w:tc>
        <w:tc>
          <w:tcPr>
            <w:tcW w:w="660" w:type="dxa"/>
            <w:vAlign w:val="bottom"/>
            <w:tcBorders>
              <w:top w:val="single" w:sz="8" w:color="CCEEFF"/>
            </w:tcBorders>
          </w:tcPr>
          <w:p>
            <w:pPr>
              <w:spacing w:after="0"/>
              <w:rPr>
                <w:sz w:val="21"/>
                <w:szCs w:val="21"/>
                <w:color w:val="auto"/>
              </w:rPr>
            </w:pPr>
          </w:p>
        </w:tc>
        <w:tc>
          <w:tcPr>
            <w:tcW w:w="180" w:type="dxa"/>
            <w:vAlign w:val="bottom"/>
            <w:tcBorders>
              <w:top w:val="single" w:sz="8" w:color="0000EE"/>
            </w:tcBorders>
          </w:tcPr>
          <w:p>
            <w:pPr>
              <w:spacing w:after="0"/>
              <w:rPr>
                <w:sz w:val="21"/>
                <w:szCs w:val="21"/>
                <w:color w:val="auto"/>
              </w:rPr>
            </w:pPr>
          </w:p>
        </w:tc>
        <w:tc>
          <w:tcPr>
            <w:tcW w:w="140" w:type="dxa"/>
            <w:vAlign w:val="bottom"/>
            <w:tcBorders>
              <w:top w:val="single" w:sz="8" w:color="0000EE"/>
            </w:tcBorders>
          </w:tcPr>
          <w:p>
            <w:pPr>
              <w:spacing w:after="0"/>
              <w:rPr>
                <w:sz w:val="21"/>
                <w:szCs w:val="21"/>
                <w:color w:val="auto"/>
              </w:rPr>
            </w:pPr>
          </w:p>
        </w:tc>
        <w:tc>
          <w:tcPr>
            <w:tcW w:w="340" w:type="dxa"/>
            <w:vAlign w:val="bottom"/>
            <w:tcBorders>
              <w:top w:val="single" w:sz="8" w:color="0000EE"/>
            </w:tcBorders>
          </w:tcPr>
          <w:p>
            <w:pPr>
              <w:spacing w:after="0"/>
              <w:rPr>
                <w:sz w:val="21"/>
                <w:szCs w:val="21"/>
                <w:color w:val="auto"/>
              </w:rPr>
            </w:pPr>
          </w:p>
        </w:tc>
        <w:tc>
          <w:tcPr>
            <w:tcW w:w="480" w:type="dxa"/>
            <w:vAlign w:val="bottom"/>
            <w:tcBorders>
              <w:top w:val="single" w:sz="8" w:color="0000EE"/>
            </w:tcBorders>
          </w:tcPr>
          <w:p>
            <w:pPr>
              <w:spacing w:after="0"/>
              <w:rPr>
                <w:sz w:val="21"/>
                <w:szCs w:val="21"/>
                <w:color w:val="auto"/>
              </w:rPr>
            </w:pPr>
          </w:p>
        </w:tc>
        <w:tc>
          <w:tcPr>
            <w:tcW w:w="340" w:type="dxa"/>
            <w:vAlign w:val="bottom"/>
            <w:tcBorders>
              <w:top w:val="single" w:sz="8" w:color="0000EE"/>
            </w:tcBorders>
          </w:tcPr>
          <w:p>
            <w:pPr>
              <w:spacing w:after="0"/>
              <w:rPr>
                <w:sz w:val="21"/>
                <w:szCs w:val="21"/>
                <w:color w:val="auto"/>
              </w:rPr>
            </w:pPr>
          </w:p>
        </w:tc>
        <w:tc>
          <w:tcPr>
            <w:tcW w:w="240" w:type="dxa"/>
            <w:vAlign w:val="bottom"/>
            <w:tcBorders>
              <w:top w:val="single" w:sz="8" w:color="0000EE"/>
            </w:tcBorders>
          </w:tcPr>
          <w:p>
            <w:pPr>
              <w:spacing w:after="0"/>
              <w:rPr>
                <w:sz w:val="21"/>
                <w:szCs w:val="21"/>
                <w:color w:val="auto"/>
              </w:rPr>
            </w:pPr>
          </w:p>
        </w:tc>
        <w:tc>
          <w:tcPr>
            <w:tcW w:w="240" w:type="dxa"/>
            <w:vAlign w:val="bottom"/>
            <w:tcBorders>
              <w:top w:val="single" w:sz="8" w:color="0000EE"/>
            </w:tcBorders>
          </w:tcPr>
          <w:p>
            <w:pPr>
              <w:spacing w:after="0"/>
              <w:rPr>
                <w:sz w:val="21"/>
                <w:szCs w:val="21"/>
                <w:color w:val="auto"/>
              </w:rPr>
            </w:pPr>
          </w:p>
        </w:tc>
        <w:tc>
          <w:tcPr>
            <w:tcW w:w="920" w:type="dxa"/>
            <w:vAlign w:val="bottom"/>
            <w:tcBorders>
              <w:top w:val="single" w:sz="8" w:color="0000EE"/>
            </w:tcBorders>
          </w:tcPr>
          <w:p>
            <w:pPr>
              <w:spacing w:after="0"/>
              <w:rPr>
                <w:sz w:val="21"/>
                <w:szCs w:val="21"/>
                <w:color w:val="auto"/>
              </w:rPr>
            </w:pPr>
          </w:p>
        </w:tc>
        <w:tc>
          <w:tcPr>
            <w:tcW w:w="160" w:type="dxa"/>
            <w:vAlign w:val="bottom"/>
            <w:tcBorders>
              <w:top w:val="single" w:sz="8" w:color="0000EE"/>
            </w:tcBorders>
          </w:tcPr>
          <w:p>
            <w:pPr>
              <w:spacing w:after="0"/>
              <w:rPr>
                <w:sz w:val="21"/>
                <w:szCs w:val="21"/>
                <w:color w:val="auto"/>
              </w:rPr>
            </w:pPr>
          </w:p>
        </w:tc>
        <w:tc>
          <w:tcPr>
            <w:tcW w:w="120" w:type="dxa"/>
            <w:vAlign w:val="bottom"/>
            <w:tcBorders>
              <w:top w:val="single" w:sz="8" w:color="0000EE"/>
            </w:tcBorders>
          </w:tcPr>
          <w:p>
            <w:pPr>
              <w:spacing w:after="0"/>
              <w:rPr>
                <w:sz w:val="21"/>
                <w:szCs w:val="21"/>
                <w:color w:val="auto"/>
              </w:rPr>
            </w:pPr>
          </w:p>
        </w:tc>
        <w:tc>
          <w:tcPr>
            <w:tcW w:w="440" w:type="dxa"/>
            <w:vAlign w:val="bottom"/>
            <w:tcBorders>
              <w:top w:val="single" w:sz="8" w:color="0000EE"/>
            </w:tcBorders>
          </w:tcPr>
          <w:p>
            <w:pPr>
              <w:spacing w:after="0"/>
              <w:rPr>
                <w:sz w:val="21"/>
                <w:szCs w:val="21"/>
                <w:color w:val="auto"/>
              </w:rPr>
            </w:pPr>
          </w:p>
        </w:tc>
        <w:tc>
          <w:tcPr>
            <w:tcW w:w="180" w:type="dxa"/>
            <w:vAlign w:val="bottom"/>
            <w:tcBorders>
              <w:top w:val="single" w:sz="8" w:color="0000EE"/>
            </w:tcBorders>
          </w:tcPr>
          <w:p>
            <w:pPr>
              <w:spacing w:after="0"/>
              <w:rPr>
                <w:sz w:val="21"/>
                <w:szCs w:val="21"/>
                <w:color w:val="auto"/>
              </w:rPr>
            </w:pPr>
          </w:p>
        </w:tc>
        <w:tc>
          <w:tcPr>
            <w:tcW w:w="60" w:type="dxa"/>
            <w:vAlign w:val="bottom"/>
            <w:tcBorders>
              <w:top w:val="single" w:sz="8" w:color="0000EE"/>
            </w:tcBorders>
          </w:tcPr>
          <w:p>
            <w:pPr>
              <w:spacing w:after="0"/>
              <w:rPr>
                <w:sz w:val="21"/>
                <w:szCs w:val="21"/>
                <w:color w:val="auto"/>
              </w:rPr>
            </w:pPr>
          </w:p>
        </w:tc>
        <w:tc>
          <w:tcPr>
            <w:tcW w:w="340" w:type="dxa"/>
            <w:vAlign w:val="bottom"/>
            <w:tcBorders>
              <w:top w:val="single" w:sz="8" w:color="0000EE"/>
            </w:tcBorders>
          </w:tcPr>
          <w:p>
            <w:pPr>
              <w:spacing w:after="0"/>
              <w:rPr>
                <w:sz w:val="21"/>
                <w:szCs w:val="21"/>
                <w:color w:val="auto"/>
              </w:rPr>
            </w:pPr>
          </w:p>
        </w:tc>
        <w:tc>
          <w:tcPr>
            <w:tcW w:w="80" w:type="dxa"/>
            <w:vAlign w:val="bottom"/>
            <w:tcBorders>
              <w:top w:val="single" w:sz="8" w:color="0000EE"/>
            </w:tcBorders>
          </w:tcPr>
          <w:p>
            <w:pPr>
              <w:spacing w:after="0"/>
              <w:rPr>
                <w:sz w:val="21"/>
                <w:szCs w:val="21"/>
                <w:color w:val="auto"/>
              </w:rPr>
            </w:pPr>
          </w:p>
        </w:tc>
        <w:tc>
          <w:tcPr>
            <w:tcW w:w="80" w:type="dxa"/>
            <w:vAlign w:val="bottom"/>
            <w:tcBorders>
              <w:top w:val="single" w:sz="8" w:color="0000EE"/>
            </w:tcBorders>
          </w:tcPr>
          <w:p>
            <w:pPr>
              <w:spacing w:after="0"/>
              <w:rPr>
                <w:sz w:val="21"/>
                <w:szCs w:val="21"/>
                <w:color w:val="auto"/>
              </w:rPr>
            </w:pPr>
          </w:p>
        </w:tc>
        <w:tc>
          <w:tcPr>
            <w:tcW w:w="60" w:type="dxa"/>
            <w:vAlign w:val="bottom"/>
            <w:tcBorders>
              <w:top w:val="single" w:sz="8" w:color="0000EE"/>
            </w:tcBorders>
          </w:tcPr>
          <w:p>
            <w:pPr>
              <w:spacing w:after="0"/>
              <w:rPr>
                <w:sz w:val="21"/>
                <w:szCs w:val="21"/>
                <w:color w:val="auto"/>
              </w:rPr>
            </w:pPr>
          </w:p>
        </w:tc>
        <w:tc>
          <w:tcPr>
            <w:tcW w:w="20" w:type="dxa"/>
            <w:vAlign w:val="bottom"/>
            <w:tcBorders>
              <w:top w:val="single" w:sz="8" w:color="0000EE"/>
            </w:tcBorders>
          </w:tcPr>
          <w:p>
            <w:pPr>
              <w:spacing w:after="0"/>
              <w:rPr>
                <w:sz w:val="21"/>
                <w:szCs w:val="21"/>
                <w:color w:val="auto"/>
              </w:rPr>
            </w:pPr>
          </w:p>
        </w:tc>
        <w:tc>
          <w:tcPr>
            <w:tcW w:w="20" w:type="dxa"/>
            <w:vAlign w:val="bottom"/>
            <w:tcBorders>
              <w:top w:val="single" w:sz="8" w:color="0000EE"/>
            </w:tcBorders>
          </w:tcPr>
          <w:p>
            <w:pPr>
              <w:spacing w:after="0"/>
              <w:rPr>
                <w:sz w:val="21"/>
                <w:szCs w:val="21"/>
                <w:color w:val="auto"/>
              </w:rPr>
            </w:pPr>
          </w:p>
        </w:tc>
        <w:tc>
          <w:tcPr>
            <w:tcW w:w="260" w:type="dxa"/>
            <w:vAlign w:val="bottom"/>
            <w:tcBorders>
              <w:top w:val="single" w:sz="8" w:color="0000EE"/>
            </w:tcBorders>
          </w:tcPr>
          <w:p>
            <w:pPr>
              <w:spacing w:after="0"/>
              <w:rPr>
                <w:sz w:val="21"/>
                <w:szCs w:val="21"/>
                <w:color w:val="auto"/>
              </w:rPr>
            </w:pPr>
          </w:p>
        </w:tc>
        <w:tc>
          <w:tcPr>
            <w:tcW w:w="80" w:type="dxa"/>
            <w:vAlign w:val="bottom"/>
            <w:tcBorders>
              <w:top w:val="single" w:sz="8" w:color="0000EE"/>
            </w:tcBorders>
          </w:tcPr>
          <w:p>
            <w:pPr>
              <w:spacing w:after="0"/>
              <w:rPr>
                <w:sz w:val="21"/>
                <w:szCs w:val="21"/>
                <w:color w:val="auto"/>
              </w:rPr>
            </w:pPr>
          </w:p>
        </w:tc>
        <w:tc>
          <w:tcPr>
            <w:tcW w:w="20" w:type="dxa"/>
            <w:vAlign w:val="bottom"/>
            <w:tcBorders>
              <w:top w:val="single" w:sz="8" w:color="0000EE"/>
            </w:tcBorders>
          </w:tcPr>
          <w:p>
            <w:pPr>
              <w:spacing w:after="0"/>
              <w:rPr>
                <w:sz w:val="21"/>
                <w:szCs w:val="21"/>
                <w:color w:val="auto"/>
              </w:rPr>
            </w:pPr>
          </w:p>
        </w:tc>
        <w:tc>
          <w:tcPr>
            <w:tcW w:w="380" w:type="dxa"/>
            <w:vAlign w:val="bottom"/>
            <w:tcBorders>
              <w:top w:val="single" w:sz="8" w:color="0000EE"/>
            </w:tcBorders>
          </w:tcPr>
          <w:p>
            <w:pPr>
              <w:spacing w:after="0"/>
              <w:rPr>
                <w:sz w:val="21"/>
                <w:szCs w:val="21"/>
                <w:color w:val="auto"/>
              </w:rPr>
            </w:pPr>
          </w:p>
        </w:tc>
        <w:tc>
          <w:tcPr>
            <w:tcW w:w="40" w:type="dxa"/>
            <w:vAlign w:val="bottom"/>
            <w:tcBorders>
              <w:top w:val="single" w:sz="8" w:color="0000EE"/>
            </w:tcBorders>
          </w:tcPr>
          <w:p>
            <w:pPr>
              <w:spacing w:after="0"/>
              <w:rPr>
                <w:sz w:val="21"/>
                <w:szCs w:val="21"/>
                <w:color w:val="auto"/>
              </w:rPr>
            </w:pPr>
          </w:p>
        </w:tc>
        <w:tc>
          <w:tcPr>
            <w:tcW w:w="80" w:type="dxa"/>
            <w:vAlign w:val="bottom"/>
            <w:tcBorders>
              <w:top w:val="single" w:sz="8" w:color="0000EE"/>
            </w:tcBorders>
          </w:tcPr>
          <w:p>
            <w:pPr>
              <w:spacing w:after="0"/>
              <w:rPr>
                <w:sz w:val="21"/>
                <w:szCs w:val="21"/>
                <w:color w:val="auto"/>
              </w:rPr>
            </w:pPr>
          </w:p>
        </w:tc>
        <w:tc>
          <w:tcPr>
            <w:tcW w:w="100" w:type="dxa"/>
            <w:vAlign w:val="bottom"/>
            <w:tcBorders>
              <w:top w:val="single" w:sz="8" w:color="0000EE"/>
            </w:tcBorders>
          </w:tcPr>
          <w:p>
            <w:pPr>
              <w:spacing w:after="0"/>
              <w:rPr>
                <w:sz w:val="21"/>
                <w:szCs w:val="21"/>
                <w:color w:val="auto"/>
              </w:rPr>
            </w:pPr>
          </w:p>
        </w:tc>
        <w:tc>
          <w:tcPr>
            <w:tcW w:w="1580" w:type="dxa"/>
            <w:vAlign w:val="bottom"/>
            <w:tcBorders>
              <w:top w:val="single" w:sz="8" w:color="0000EE"/>
            </w:tcBorders>
          </w:tcPr>
          <w:p>
            <w:pPr>
              <w:spacing w:after="0"/>
              <w:rPr>
                <w:sz w:val="21"/>
                <w:szCs w:val="21"/>
                <w:color w:val="auto"/>
              </w:rPr>
            </w:pPr>
          </w:p>
        </w:tc>
        <w:tc>
          <w:tcPr>
            <w:tcW w:w="1740" w:type="dxa"/>
            <w:vAlign w:val="bottom"/>
            <w:tcBorders>
              <w:top w:val="single" w:sz="8" w:color="CCEEFF"/>
            </w:tcBorders>
          </w:tcPr>
          <w:p>
            <w:pPr>
              <w:spacing w:after="0"/>
              <w:rPr>
                <w:sz w:val="21"/>
                <w:szCs w:val="21"/>
                <w:color w:val="auto"/>
              </w:rPr>
            </w:pPr>
          </w:p>
        </w:tc>
        <w:tc>
          <w:tcPr>
            <w:tcW w:w="380" w:type="dxa"/>
            <w:vAlign w:val="bottom"/>
            <w:tcBorders>
              <w:top w:val="single" w:sz="8" w:color="CCEEFF"/>
            </w:tcBorders>
          </w:tcPr>
          <w:p>
            <w:pPr>
              <w:spacing w:after="0"/>
              <w:rPr>
                <w:sz w:val="21"/>
                <w:szCs w:val="21"/>
                <w:color w:val="auto"/>
              </w:rPr>
            </w:pPr>
          </w:p>
        </w:tc>
        <w:tc>
          <w:tcPr>
            <w:tcW w:w="120" w:type="dxa"/>
            <w:vAlign w:val="bottom"/>
            <w:tcBorders>
              <w:top w:val="single" w:sz="8" w:color="CCEEFF"/>
            </w:tcBorders>
          </w:tcPr>
          <w:p>
            <w:pPr>
              <w:spacing w:after="0"/>
              <w:rPr>
                <w:sz w:val="21"/>
                <w:szCs w:val="21"/>
                <w:color w:val="auto"/>
              </w:rPr>
            </w:pPr>
          </w:p>
        </w:tc>
      </w:tr>
      <w:tr>
        <w:trPr>
          <w:trHeight w:val="189"/>
        </w:trPr>
        <w:tc>
          <w:tcPr>
            <w:tcW w:w="100" w:type="dxa"/>
            <w:vAlign w:val="bottom"/>
            <w:shd w:val="clear" w:color="auto" w:fill="CCEEFF"/>
          </w:tcPr>
          <w:p>
            <w:pPr>
              <w:spacing w:after="0"/>
              <w:rPr>
                <w:sz w:val="16"/>
                <w:szCs w:val="16"/>
                <w:color w:val="auto"/>
              </w:rPr>
            </w:pPr>
          </w:p>
        </w:tc>
        <w:tc>
          <w:tcPr>
            <w:tcW w:w="660" w:type="dxa"/>
            <w:vAlign w:val="bottom"/>
            <w:tcBorders>
              <w:right w:val="single" w:sz="8" w:color="CCEEFF"/>
            </w:tcBorders>
            <w:shd w:val="clear" w:color="auto" w:fill="CCEEFF"/>
          </w:tcPr>
          <w:p>
            <w:pPr>
              <w:spacing w:after="0"/>
              <w:rPr>
                <w:sz w:val="16"/>
                <w:szCs w:val="16"/>
                <w:color w:val="auto"/>
              </w:rPr>
            </w:pPr>
          </w:p>
        </w:tc>
        <w:tc>
          <w:tcPr>
            <w:tcW w:w="8720" w:type="dxa"/>
            <w:vAlign w:val="bottom"/>
            <w:gridSpan w:val="28"/>
            <w:shd w:val="clear" w:color="auto" w:fill="CCEEFF"/>
          </w:tcPr>
          <w:p>
            <w:pPr>
              <w:spacing w:after="0" w:line="189" w:lineRule="exact"/>
              <w:rPr>
                <w:rFonts w:ascii="Arial" w:cs="Arial" w:eastAsia="Arial" w:hAnsi="Arial"/>
                <w:sz w:val="20"/>
                <w:szCs w:val="20"/>
                <w:color w:val="0000EE"/>
              </w:rPr>
            </w:pPr>
            <w:hyperlink w:anchor="page5">
              <w:r>
                <w:rPr>
                  <w:rFonts w:ascii="Arial" w:cs="Arial" w:eastAsia="Arial" w:hAnsi="Arial"/>
                  <w:sz w:val="20"/>
                  <w:szCs w:val="20"/>
                  <w:color w:val="0000EE"/>
                </w:rPr>
                <w:t>Consolidated Statements of Net Income (unaudited) –</w:t>
              </w:r>
            </w:hyperlink>
          </w:p>
        </w:tc>
        <w:tc>
          <w:tcPr>
            <w:tcW w:w="3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r>
      <w:tr>
        <w:trPr>
          <w:trHeight w:val="20"/>
        </w:trPr>
        <w:tc>
          <w:tcPr>
            <w:tcW w:w="100" w:type="dxa"/>
            <w:vAlign w:val="bottom"/>
            <w:shd w:val="clear" w:color="auto" w:fill="CCEEFF"/>
          </w:tcPr>
          <w:p>
            <w:pPr>
              <w:spacing w:after="0" w:line="20" w:lineRule="exact"/>
              <w:rPr>
                <w:sz w:val="1"/>
                <w:szCs w:val="1"/>
                <w:color w:val="auto"/>
              </w:rPr>
            </w:pPr>
          </w:p>
        </w:tc>
        <w:tc>
          <w:tcPr>
            <w:tcW w:w="660" w:type="dxa"/>
            <w:vAlign w:val="bottom"/>
            <w:tcBorders>
              <w:right w:val="single" w:sz="8" w:color="CCEEFF"/>
            </w:tcBorders>
            <w:shd w:val="clear" w:color="auto" w:fill="CCEEFF"/>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4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420" w:type="dxa"/>
            <w:vAlign w:val="bottom"/>
            <w:gridSpan w:val="3"/>
            <w:shd w:val="clear" w:color="auto" w:fill="CCEEFF"/>
          </w:tcPr>
          <w:p>
            <w:pPr>
              <w:spacing w:after="0" w:line="20" w:lineRule="exact"/>
              <w:rPr>
                <w:sz w:val="1"/>
                <w:szCs w:val="1"/>
                <w:color w:val="auto"/>
              </w:rPr>
            </w:pPr>
          </w:p>
        </w:tc>
        <w:tc>
          <w:tcPr>
            <w:tcW w:w="500" w:type="dxa"/>
            <w:vAlign w:val="bottom"/>
            <w:gridSpan w:val="2"/>
            <w:shd w:val="clear" w:color="auto" w:fill="CCEEFF"/>
          </w:tcPr>
          <w:p>
            <w:pPr>
              <w:spacing w:after="0" w:line="20" w:lineRule="exact"/>
              <w:rPr>
                <w:sz w:val="1"/>
                <w:szCs w:val="1"/>
                <w:color w:val="auto"/>
              </w:rPr>
            </w:pPr>
          </w:p>
        </w:tc>
      </w:tr>
      <w:tr>
        <w:trPr>
          <w:trHeight w:val="230"/>
        </w:trPr>
        <w:tc>
          <w:tcPr>
            <w:tcW w:w="100" w:type="dxa"/>
            <w:vAlign w:val="bottom"/>
            <w:shd w:val="clear" w:color="auto" w:fill="CCEEFF"/>
          </w:tcPr>
          <w:p>
            <w:pPr>
              <w:spacing w:after="0"/>
              <w:rPr>
                <w:sz w:val="20"/>
                <w:szCs w:val="20"/>
                <w:color w:val="auto"/>
              </w:rPr>
            </w:pPr>
          </w:p>
        </w:tc>
        <w:tc>
          <w:tcPr>
            <w:tcW w:w="660" w:type="dxa"/>
            <w:vAlign w:val="bottom"/>
            <w:tcBorders>
              <w:right w:val="single" w:sz="8" w:color="CCEEFF"/>
            </w:tcBorders>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400" w:type="dxa"/>
            <w:vAlign w:val="bottom"/>
            <w:gridSpan w:val="26"/>
            <w:shd w:val="clear" w:color="auto" w:fill="CCEEFF"/>
          </w:tcPr>
          <w:p>
            <w:pPr>
              <w:spacing w:after="0" w:line="209" w:lineRule="exact"/>
              <w:rPr>
                <w:rFonts w:ascii="Arial" w:cs="Arial" w:eastAsia="Arial" w:hAnsi="Arial"/>
                <w:sz w:val="20"/>
                <w:szCs w:val="20"/>
                <w:color w:val="0000EE"/>
              </w:rPr>
            </w:pPr>
            <w:hyperlink w:anchor="page5">
              <w:r>
                <w:rPr>
                  <w:rFonts w:ascii="Arial" w:cs="Arial" w:eastAsia="Arial" w:hAnsi="Arial"/>
                  <w:sz w:val="20"/>
                  <w:szCs w:val="20"/>
                  <w:color w:val="0000EE"/>
                </w:rPr>
                <w:t>Three Months Ended September 30, 2018 and 2017</w:t>
              </w:r>
            </w:hyperlink>
          </w:p>
        </w:tc>
        <w:tc>
          <w:tcPr>
            <w:tcW w:w="500" w:type="dxa"/>
            <w:vAlign w:val="bottom"/>
            <w:gridSpan w:val="2"/>
            <w:shd w:val="clear" w:color="auto" w:fill="CCEEFF"/>
          </w:tcPr>
          <w:p>
            <w:pPr>
              <w:jc w:val="right"/>
              <w:ind w:right="40"/>
              <w:spacing w:after="0" w:line="209" w:lineRule="exact"/>
              <w:rPr>
                <w:sz w:val="20"/>
                <w:szCs w:val="20"/>
                <w:color w:val="auto"/>
              </w:rPr>
            </w:pPr>
            <w:r>
              <w:rPr>
                <w:rFonts w:ascii="Arial" w:cs="Arial" w:eastAsia="Arial" w:hAnsi="Arial"/>
                <w:sz w:val="20"/>
                <w:szCs w:val="20"/>
                <w:color w:val="auto"/>
              </w:rPr>
              <w:t>3</w:t>
            </w:r>
          </w:p>
        </w:tc>
      </w:tr>
      <w:tr>
        <w:trPr>
          <w:trHeight w:val="243"/>
        </w:trPr>
        <w:tc>
          <w:tcPr>
            <w:tcW w:w="100" w:type="dxa"/>
            <w:vAlign w:val="bottom"/>
            <w:tcBorders>
              <w:top w:val="single" w:sz="8" w:color="CCEEFF"/>
            </w:tcBorders>
          </w:tcPr>
          <w:p>
            <w:pPr>
              <w:spacing w:after="0"/>
              <w:rPr>
                <w:sz w:val="21"/>
                <w:szCs w:val="21"/>
                <w:color w:val="auto"/>
              </w:rPr>
            </w:pPr>
          </w:p>
        </w:tc>
        <w:tc>
          <w:tcPr>
            <w:tcW w:w="660" w:type="dxa"/>
            <w:vAlign w:val="bottom"/>
            <w:tcBorders>
              <w:top w:val="single" w:sz="8" w:color="CCEEFF"/>
            </w:tcBorders>
          </w:tcPr>
          <w:p>
            <w:pPr>
              <w:spacing w:after="0"/>
              <w:rPr>
                <w:sz w:val="21"/>
                <w:szCs w:val="21"/>
                <w:color w:val="auto"/>
              </w:rPr>
            </w:pPr>
          </w:p>
        </w:tc>
        <w:tc>
          <w:tcPr>
            <w:tcW w:w="180" w:type="dxa"/>
            <w:vAlign w:val="bottom"/>
            <w:tcBorders>
              <w:top w:val="single" w:sz="8" w:color="CCEEFF"/>
            </w:tcBorders>
          </w:tcPr>
          <w:p>
            <w:pPr>
              <w:spacing w:after="0"/>
              <w:rPr>
                <w:sz w:val="21"/>
                <w:szCs w:val="21"/>
                <w:color w:val="auto"/>
              </w:rPr>
            </w:pPr>
          </w:p>
        </w:tc>
        <w:tc>
          <w:tcPr>
            <w:tcW w:w="140" w:type="dxa"/>
            <w:vAlign w:val="bottom"/>
            <w:tcBorders>
              <w:top w:val="single" w:sz="8" w:color="CCEEFF"/>
            </w:tcBorders>
          </w:tcPr>
          <w:p>
            <w:pPr>
              <w:spacing w:after="0"/>
              <w:rPr>
                <w:sz w:val="21"/>
                <w:szCs w:val="21"/>
                <w:color w:val="auto"/>
              </w:rPr>
            </w:pPr>
          </w:p>
        </w:tc>
        <w:tc>
          <w:tcPr>
            <w:tcW w:w="340" w:type="dxa"/>
            <w:vAlign w:val="bottom"/>
            <w:tcBorders>
              <w:top w:val="single" w:sz="8" w:color="0000EE"/>
            </w:tcBorders>
          </w:tcPr>
          <w:p>
            <w:pPr>
              <w:spacing w:after="0"/>
              <w:rPr>
                <w:sz w:val="21"/>
                <w:szCs w:val="21"/>
                <w:color w:val="auto"/>
              </w:rPr>
            </w:pPr>
          </w:p>
        </w:tc>
        <w:tc>
          <w:tcPr>
            <w:tcW w:w="480" w:type="dxa"/>
            <w:vAlign w:val="bottom"/>
            <w:tcBorders>
              <w:top w:val="single" w:sz="8" w:color="0000EE"/>
            </w:tcBorders>
          </w:tcPr>
          <w:p>
            <w:pPr>
              <w:spacing w:after="0"/>
              <w:rPr>
                <w:sz w:val="21"/>
                <w:szCs w:val="21"/>
                <w:color w:val="auto"/>
              </w:rPr>
            </w:pPr>
          </w:p>
        </w:tc>
        <w:tc>
          <w:tcPr>
            <w:tcW w:w="340" w:type="dxa"/>
            <w:vAlign w:val="bottom"/>
            <w:tcBorders>
              <w:top w:val="single" w:sz="8" w:color="0000EE"/>
            </w:tcBorders>
          </w:tcPr>
          <w:p>
            <w:pPr>
              <w:spacing w:after="0"/>
              <w:rPr>
                <w:sz w:val="21"/>
                <w:szCs w:val="21"/>
                <w:color w:val="auto"/>
              </w:rPr>
            </w:pPr>
          </w:p>
        </w:tc>
        <w:tc>
          <w:tcPr>
            <w:tcW w:w="240" w:type="dxa"/>
            <w:vAlign w:val="bottom"/>
            <w:tcBorders>
              <w:top w:val="single" w:sz="8" w:color="0000EE"/>
            </w:tcBorders>
          </w:tcPr>
          <w:p>
            <w:pPr>
              <w:spacing w:after="0"/>
              <w:rPr>
                <w:sz w:val="21"/>
                <w:szCs w:val="21"/>
                <w:color w:val="auto"/>
              </w:rPr>
            </w:pPr>
          </w:p>
        </w:tc>
        <w:tc>
          <w:tcPr>
            <w:tcW w:w="240" w:type="dxa"/>
            <w:vAlign w:val="bottom"/>
            <w:tcBorders>
              <w:top w:val="single" w:sz="8" w:color="0000EE"/>
            </w:tcBorders>
          </w:tcPr>
          <w:p>
            <w:pPr>
              <w:spacing w:after="0"/>
              <w:rPr>
                <w:sz w:val="21"/>
                <w:szCs w:val="21"/>
                <w:color w:val="auto"/>
              </w:rPr>
            </w:pPr>
          </w:p>
        </w:tc>
        <w:tc>
          <w:tcPr>
            <w:tcW w:w="920" w:type="dxa"/>
            <w:vAlign w:val="bottom"/>
            <w:tcBorders>
              <w:top w:val="single" w:sz="8" w:color="0000EE"/>
            </w:tcBorders>
          </w:tcPr>
          <w:p>
            <w:pPr>
              <w:spacing w:after="0"/>
              <w:rPr>
                <w:sz w:val="21"/>
                <w:szCs w:val="21"/>
                <w:color w:val="auto"/>
              </w:rPr>
            </w:pPr>
          </w:p>
        </w:tc>
        <w:tc>
          <w:tcPr>
            <w:tcW w:w="160" w:type="dxa"/>
            <w:vAlign w:val="bottom"/>
            <w:tcBorders>
              <w:top w:val="single" w:sz="8" w:color="0000EE"/>
            </w:tcBorders>
          </w:tcPr>
          <w:p>
            <w:pPr>
              <w:spacing w:after="0"/>
              <w:rPr>
                <w:sz w:val="21"/>
                <w:szCs w:val="21"/>
                <w:color w:val="auto"/>
              </w:rPr>
            </w:pPr>
          </w:p>
        </w:tc>
        <w:tc>
          <w:tcPr>
            <w:tcW w:w="120" w:type="dxa"/>
            <w:vAlign w:val="bottom"/>
            <w:tcBorders>
              <w:top w:val="single" w:sz="8" w:color="0000EE"/>
            </w:tcBorders>
          </w:tcPr>
          <w:p>
            <w:pPr>
              <w:spacing w:after="0"/>
              <w:rPr>
                <w:sz w:val="21"/>
                <w:szCs w:val="21"/>
                <w:color w:val="auto"/>
              </w:rPr>
            </w:pPr>
          </w:p>
        </w:tc>
        <w:tc>
          <w:tcPr>
            <w:tcW w:w="440" w:type="dxa"/>
            <w:vAlign w:val="bottom"/>
            <w:tcBorders>
              <w:top w:val="single" w:sz="8" w:color="0000EE"/>
            </w:tcBorders>
          </w:tcPr>
          <w:p>
            <w:pPr>
              <w:spacing w:after="0"/>
              <w:rPr>
                <w:sz w:val="21"/>
                <w:szCs w:val="21"/>
                <w:color w:val="auto"/>
              </w:rPr>
            </w:pPr>
          </w:p>
        </w:tc>
        <w:tc>
          <w:tcPr>
            <w:tcW w:w="180" w:type="dxa"/>
            <w:vAlign w:val="bottom"/>
            <w:tcBorders>
              <w:top w:val="single" w:sz="8" w:color="0000EE"/>
            </w:tcBorders>
          </w:tcPr>
          <w:p>
            <w:pPr>
              <w:spacing w:after="0"/>
              <w:rPr>
                <w:sz w:val="21"/>
                <w:szCs w:val="21"/>
                <w:color w:val="auto"/>
              </w:rPr>
            </w:pPr>
          </w:p>
        </w:tc>
        <w:tc>
          <w:tcPr>
            <w:tcW w:w="60" w:type="dxa"/>
            <w:vAlign w:val="bottom"/>
            <w:tcBorders>
              <w:top w:val="single" w:sz="8" w:color="0000EE"/>
            </w:tcBorders>
          </w:tcPr>
          <w:p>
            <w:pPr>
              <w:spacing w:after="0"/>
              <w:rPr>
                <w:sz w:val="21"/>
                <w:szCs w:val="21"/>
                <w:color w:val="auto"/>
              </w:rPr>
            </w:pPr>
          </w:p>
        </w:tc>
        <w:tc>
          <w:tcPr>
            <w:tcW w:w="340" w:type="dxa"/>
            <w:vAlign w:val="bottom"/>
            <w:tcBorders>
              <w:top w:val="single" w:sz="8" w:color="0000EE"/>
            </w:tcBorders>
          </w:tcPr>
          <w:p>
            <w:pPr>
              <w:spacing w:after="0"/>
              <w:rPr>
                <w:sz w:val="21"/>
                <w:szCs w:val="21"/>
                <w:color w:val="auto"/>
              </w:rPr>
            </w:pPr>
          </w:p>
        </w:tc>
        <w:tc>
          <w:tcPr>
            <w:tcW w:w="80" w:type="dxa"/>
            <w:vAlign w:val="bottom"/>
            <w:tcBorders>
              <w:top w:val="single" w:sz="8" w:color="0000EE"/>
            </w:tcBorders>
          </w:tcPr>
          <w:p>
            <w:pPr>
              <w:spacing w:after="0"/>
              <w:rPr>
                <w:sz w:val="21"/>
                <w:szCs w:val="21"/>
                <w:color w:val="auto"/>
              </w:rPr>
            </w:pPr>
          </w:p>
        </w:tc>
        <w:tc>
          <w:tcPr>
            <w:tcW w:w="80" w:type="dxa"/>
            <w:vAlign w:val="bottom"/>
            <w:tcBorders>
              <w:top w:val="single" w:sz="8" w:color="0000EE"/>
            </w:tcBorders>
          </w:tcPr>
          <w:p>
            <w:pPr>
              <w:spacing w:after="0"/>
              <w:rPr>
                <w:sz w:val="21"/>
                <w:szCs w:val="21"/>
                <w:color w:val="auto"/>
              </w:rPr>
            </w:pPr>
          </w:p>
        </w:tc>
        <w:tc>
          <w:tcPr>
            <w:tcW w:w="60" w:type="dxa"/>
            <w:vAlign w:val="bottom"/>
            <w:tcBorders>
              <w:top w:val="single" w:sz="8" w:color="0000EE"/>
            </w:tcBorders>
          </w:tcPr>
          <w:p>
            <w:pPr>
              <w:spacing w:after="0"/>
              <w:rPr>
                <w:sz w:val="21"/>
                <w:szCs w:val="21"/>
                <w:color w:val="auto"/>
              </w:rPr>
            </w:pPr>
          </w:p>
        </w:tc>
        <w:tc>
          <w:tcPr>
            <w:tcW w:w="20" w:type="dxa"/>
            <w:vAlign w:val="bottom"/>
            <w:tcBorders>
              <w:top w:val="single" w:sz="8" w:color="CCEEFF"/>
            </w:tcBorders>
          </w:tcPr>
          <w:p>
            <w:pPr>
              <w:spacing w:after="0"/>
              <w:rPr>
                <w:sz w:val="21"/>
                <w:szCs w:val="21"/>
                <w:color w:val="auto"/>
              </w:rPr>
            </w:pPr>
          </w:p>
        </w:tc>
        <w:tc>
          <w:tcPr>
            <w:tcW w:w="20" w:type="dxa"/>
            <w:vAlign w:val="bottom"/>
            <w:tcBorders>
              <w:top w:val="single" w:sz="8" w:color="CCEEFF"/>
            </w:tcBorders>
          </w:tcPr>
          <w:p>
            <w:pPr>
              <w:spacing w:after="0"/>
              <w:rPr>
                <w:sz w:val="21"/>
                <w:szCs w:val="21"/>
                <w:color w:val="auto"/>
              </w:rPr>
            </w:pPr>
          </w:p>
        </w:tc>
        <w:tc>
          <w:tcPr>
            <w:tcW w:w="260" w:type="dxa"/>
            <w:vAlign w:val="bottom"/>
            <w:tcBorders>
              <w:top w:val="single" w:sz="8" w:color="CCEEFF"/>
            </w:tcBorders>
          </w:tcPr>
          <w:p>
            <w:pPr>
              <w:spacing w:after="0"/>
              <w:rPr>
                <w:sz w:val="21"/>
                <w:szCs w:val="21"/>
                <w:color w:val="auto"/>
              </w:rPr>
            </w:pPr>
          </w:p>
        </w:tc>
        <w:tc>
          <w:tcPr>
            <w:tcW w:w="80" w:type="dxa"/>
            <w:vAlign w:val="bottom"/>
            <w:tcBorders>
              <w:top w:val="single" w:sz="8" w:color="CCEEFF"/>
            </w:tcBorders>
          </w:tcPr>
          <w:p>
            <w:pPr>
              <w:spacing w:after="0"/>
              <w:rPr>
                <w:sz w:val="21"/>
                <w:szCs w:val="21"/>
                <w:color w:val="auto"/>
              </w:rPr>
            </w:pPr>
          </w:p>
        </w:tc>
        <w:tc>
          <w:tcPr>
            <w:tcW w:w="20" w:type="dxa"/>
            <w:vAlign w:val="bottom"/>
            <w:tcBorders>
              <w:top w:val="single" w:sz="8" w:color="CCEEFF"/>
            </w:tcBorders>
          </w:tcPr>
          <w:p>
            <w:pPr>
              <w:spacing w:after="0"/>
              <w:rPr>
                <w:sz w:val="21"/>
                <w:szCs w:val="21"/>
                <w:color w:val="auto"/>
              </w:rPr>
            </w:pPr>
          </w:p>
        </w:tc>
        <w:tc>
          <w:tcPr>
            <w:tcW w:w="380" w:type="dxa"/>
            <w:vAlign w:val="bottom"/>
            <w:tcBorders>
              <w:top w:val="single" w:sz="8" w:color="CCEEFF"/>
            </w:tcBorders>
          </w:tcPr>
          <w:p>
            <w:pPr>
              <w:spacing w:after="0"/>
              <w:rPr>
                <w:sz w:val="21"/>
                <w:szCs w:val="21"/>
                <w:color w:val="auto"/>
              </w:rPr>
            </w:pPr>
          </w:p>
        </w:tc>
        <w:tc>
          <w:tcPr>
            <w:tcW w:w="40" w:type="dxa"/>
            <w:vAlign w:val="bottom"/>
            <w:tcBorders>
              <w:top w:val="single" w:sz="8" w:color="CCEEFF"/>
            </w:tcBorders>
          </w:tcPr>
          <w:p>
            <w:pPr>
              <w:spacing w:after="0"/>
              <w:rPr>
                <w:sz w:val="21"/>
                <w:szCs w:val="21"/>
                <w:color w:val="auto"/>
              </w:rPr>
            </w:pPr>
          </w:p>
        </w:tc>
        <w:tc>
          <w:tcPr>
            <w:tcW w:w="80" w:type="dxa"/>
            <w:vAlign w:val="bottom"/>
            <w:tcBorders>
              <w:top w:val="single" w:sz="8" w:color="CCEEFF"/>
            </w:tcBorders>
          </w:tcPr>
          <w:p>
            <w:pPr>
              <w:spacing w:after="0"/>
              <w:rPr>
                <w:sz w:val="21"/>
                <w:szCs w:val="21"/>
                <w:color w:val="auto"/>
              </w:rPr>
            </w:pPr>
          </w:p>
        </w:tc>
        <w:tc>
          <w:tcPr>
            <w:tcW w:w="100" w:type="dxa"/>
            <w:vAlign w:val="bottom"/>
            <w:tcBorders>
              <w:top w:val="single" w:sz="8" w:color="CCEEFF"/>
            </w:tcBorders>
          </w:tcPr>
          <w:p>
            <w:pPr>
              <w:spacing w:after="0"/>
              <w:rPr>
                <w:sz w:val="21"/>
                <w:szCs w:val="21"/>
                <w:color w:val="auto"/>
              </w:rPr>
            </w:pPr>
          </w:p>
        </w:tc>
        <w:tc>
          <w:tcPr>
            <w:tcW w:w="1580" w:type="dxa"/>
            <w:vAlign w:val="bottom"/>
            <w:tcBorders>
              <w:top w:val="single" w:sz="8" w:color="CCEEFF"/>
            </w:tcBorders>
          </w:tcPr>
          <w:p>
            <w:pPr>
              <w:spacing w:after="0"/>
              <w:rPr>
                <w:sz w:val="21"/>
                <w:szCs w:val="21"/>
                <w:color w:val="auto"/>
              </w:rPr>
            </w:pPr>
          </w:p>
        </w:tc>
        <w:tc>
          <w:tcPr>
            <w:tcW w:w="1740" w:type="dxa"/>
            <w:vAlign w:val="bottom"/>
            <w:tcBorders>
              <w:top w:val="single" w:sz="8" w:color="CCEEFF"/>
            </w:tcBorders>
          </w:tcPr>
          <w:p>
            <w:pPr>
              <w:spacing w:after="0"/>
              <w:rPr>
                <w:sz w:val="21"/>
                <w:szCs w:val="21"/>
                <w:color w:val="auto"/>
              </w:rPr>
            </w:pPr>
          </w:p>
        </w:tc>
        <w:tc>
          <w:tcPr>
            <w:tcW w:w="380" w:type="dxa"/>
            <w:vAlign w:val="bottom"/>
            <w:tcBorders>
              <w:top w:val="single" w:sz="8" w:color="CCEEFF"/>
            </w:tcBorders>
          </w:tcPr>
          <w:p>
            <w:pPr>
              <w:spacing w:after="0"/>
              <w:rPr>
                <w:sz w:val="21"/>
                <w:szCs w:val="21"/>
                <w:color w:val="auto"/>
              </w:rPr>
            </w:pPr>
          </w:p>
        </w:tc>
        <w:tc>
          <w:tcPr>
            <w:tcW w:w="120" w:type="dxa"/>
            <w:vAlign w:val="bottom"/>
            <w:tcBorders>
              <w:top w:val="single" w:sz="8" w:color="CCEEFF"/>
            </w:tcBorders>
          </w:tcPr>
          <w:p>
            <w:pPr>
              <w:spacing w:after="0"/>
              <w:rPr>
                <w:sz w:val="21"/>
                <w:szCs w:val="21"/>
                <w:color w:val="auto"/>
              </w:rPr>
            </w:pPr>
          </w:p>
        </w:tc>
      </w:tr>
      <w:tr>
        <w:trPr>
          <w:trHeight w:val="203"/>
        </w:trPr>
        <w:tc>
          <w:tcPr>
            <w:tcW w:w="100" w:type="dxa"/>
            <w:vAlign w:val="bottom"/>
            <w:shd w:val="clear" w:color="auto" w:fill="CCEEFF"/>
          </w:tcPr>
          <w:p>
            <w:pPr>
              <w:spacing w:after="0"/>
              <w:rPr>
                <w:sz w:val="17"/>
                <w:szCs w:val="17"/>
                <w:color w:val="auto"/>
              </w:rPr>
            </w:pPr>
          </w:p>
        </w:tc>
        <w:tc>
          <w:tcPr>
            <w:tcW w:w="660" w:type="dxa"/>
            <w:vAlign w:val="bottom"/>
            <w:tcBorders>
              <w:right w:val="single" w:sz="8" w:color="CCEEFF"/>
            </w:tcBorders>
            <w:shd w:val="clear" w:color="auto" w:fill="CCEEFF"/>
          </w:tcPr>
          <w:p>
            <w:pPr>
              <w:spacing w:after="0"/>
              <w:rPr>
                <w:sz w:val="17"/>
                <w:szCs w:val="17"/>
                <w:color w:val="auto"/>
              </w:rPr>
            </w:pPr>
          </w:p>
        </w:tc>
        <w:tc>
          <w:tcPr>
            <w:tcW w:w="8720" w:type="dxa"/>
            <w:vAlign w:val="bottom"/>
            <w:gridSpan w:val="28"/>
            <w:shd w:val="clear" w:color="auto" w:fill="CCEEFF"/>
          </w:tcPr>
          <w:p>
            <w:pPr>
              <w:spacing w:after="0" w:line="203" w:lineRule="exact"/>
              <w:rPr>
                <w:rFonts w:ascii="Arial" w:cs="Arial" w:eastAsia="Arial" w:hAnsi="Arial"/>
                <w:sz w:val="22"/>
                <w:szCs w:val="22"/>
                <w:color w:val="0000EE"/>
              </w:rPr>
            </w:pPr>
            <w:hyperlink w:anchor="page6">
              <w:r>
                <w:rPr>
                  <w:rFonts w:ascii="Arial" w:cs="Arial" w:eastAsia="Arial" w:hAnsi="Arial"/>
                  <w:sz w:val="22"/>
                  <w:szCs w:val="22"/>
                  <w:color w:val="0000EE"/>
                </w:rPr>
                <w:t>Consolidated Statements of Net Income (unaudited) –</w:t>
              </w:r>
            </w:hyperlink>
          </w:p>
        </w:tc>
        <w:tc>
          <w:tcPr>
            <w:tcW w:w="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0"/>
        </w:trPr>
        <w:tc>
          <w:tcPr>
            <w:tcW w:w="100" w:type="dxa"/>
            <w:vAlign w:val="bottom"/>
            <w:shd w:val="clear" w:color="auto" w:fill="CCEEFF"/>
          </w:tcPr>
          <w:p>
            <w:pPr>
              <w:spacing w:after="0" w:line="20" w:lineRule="exact"/>
              <w:rPr>
                <w:sz w:val="1"/>
                <w:szCs w:val="1"/>
                <w:color w:val="auto"/>
              </w:rPr>
            </w:pPr>
          </w:p>
        </w:tc>
        <w:tc>
          <w:tcPr>
            <w:tcW w:w="660" w:type="dxa"/>
            <w:vAlign w:val="bottom"/>
            <w:tcBorders>
              <w:right w:val="single" w:sz="8" w:color="CCEEFF"/>
            </w:tcBorders>
            <w:shd w:val="clear" w:color="auto" w:fill="CCEEFF"/>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4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60" w:type="dxa"/>
            <w:vAlign w:val="bottom"/>
            <w:tcBorders>
              <w:right w:val="single" w:sz="8" w:color="CCEEFF"/>
            </w:tcBorders>
            <w:shd w:val="clear" w:color="auto" w:fill="0000EE"/>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420" w:type="dxa"/>
            <w:vAlign w:val="bottom"/>
            <w:gridSpan w:val="3"/>
            <w:shd w:val="clear" w:color="auto" w:fill="CCEEFF"/>
          </w:tcPr>
          <w:p>
            <w:pPr>
              <w:spacing w:after="0" w:line="20" w:lineRule="exact"/>
              <w:rPr>
                <w:sz w:val="1"/>
                <w:szCs w:val="1"/>
                <w:color w:val="auto"/>
              </w:rPr>
            </w:pPr>
          </w:p>
        </w:tc>
        <w:tc>
          <w:tcPr>
            <w:tcW w:w="500" w:type="dxa"/>
            <w:vAlign w:val="bottom"/>
            <w:gridSpan w:val="2"/>
            <w:shd w:val="clear" w:color="auto" w:fill="CCEEFF"/>
          </w:tcPr>
          <w:p>
            <w:pPr>
              <w:spacing w:after="0" w:line="20" w:lineRule="exact"/>
              <w:rPr>
                <w:sz w:val="1"/>
                <w:szCs w:val="1"/>
                <w:color w:val="auto"/>
              </w:rPr>
            </w:pPr>
          </w:p>
        </w:tc>
      </w:tr>
      <w:tr>
        <w:trPr>
          <w:trHeight w:val="244"/>
        </w:trPr>
        <w:tc>
          <w:tcPr>
            <w:tcW w:w="100" w:type="dxa"/>
            <w:vAlign w:val="bottom"/>
            <w:shd w:val="clear" w:color="auto" w:fill="CCEEFF"/>
          </w:tcPr>
          <w:p>
            <w:pPr>
              <w:spacing w:after="0"/>
              <w:rPr>
                <w:sz w:val="21"/>
                <w:szCs w:val="21"/>
                <w:color w:val="auto"/>
              </w:rPr>
            </w:pPr>
          </w:p>
        </w:tc>
        <w:tc>
          <w:tcPr>
            <w:tcW w:w="660" w:type="dxa"/>
            <w:vAlign w:val="bottom"/>
            <w:tcBorders>
              <w:right w:val="single" w:sz="8" w:color="CCEEFF"/>
            </w:tcBorders>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400" w:type="dxa"/>
            <w:vAlign w:val="bottom"/>
            <w:gridSpan w:val="26"/>
            <w:shd w:val="clear" w:color="auto" w:fill="CCEEFF"/>
          </w:tcPr>
          <w:p>
            <w:pPr>
              <w:spacing w:after="0" w:line="223" w:lineRule="exact"/>
              <w:rPr>
                <w:rFonts w:ascii="Arial" w:cs="Arial" w:eastAsia="Arial" w:hAnsi="Arial"/>
                <w:sz w:val="22"/>
                <w:szCs w:val="22"/>
                <w:color w:val="0000EE"/>
              </w:rPr>
            </w:pPr>
            <w:hyperlink w:anchor="page6">
              <w:r>
                <w:rPr>
                  <w:rFonts w:ascii="Arial" w:cs="Arial" w:eastAsia="Arial" w:hAnsi="Arial"/>
                  <w:sz w:val="22"/>
                  <w:szCs w:val="22"/>
                  <w:color w:val="0000EE"/>
                </w:rPr>
                <w:t>Nine Months Ended September 30, 2018 and 2017</w:t>
              </w:r>
            </w:hyperlink>
          </w:p>
        </w:tc>
        <w:tc>
          <w:tcPr>
            <w:tcW w:w="500" w:type="dxa"/>
            <w:vAlign w:val="bottom"/>
            <w:gridSpan w:val="2"/>
            <w:shd w:val="clear" w:color="auto" w:fill="CCEEFF"/>
          </w:tcPr>
          <w:p>
            <w:pPr>
              <w:jc w:val="right"/>
              <w:ind w:right="40"/>
              <w:spacing w:after="0" w:line="223" w:lineRule="exact"/>
              <w:rPr>
                <w:sz w:val="20"/>
                <w:szCs w:val="20"/>
                <w:color w:val="auto"/>
              </w:rPr>
            </w:pPr>
            <w:r>
              <w:rPr>
                <w:rFonts w:ascii="Arial" w:cs="Arial" w:eastAsia="Arial" w:hAnsi="Arial"/>
                <w:sz w:val="20"/>
                <w:szCs w:val="20"/>
                <w:color w:val="auto"/>
              </w:rPr>
              <w:t>4</w:t>
            </w:r>
          </w:p>
        </w:tc>
      </w:tr>
      <w:tr>
        <w:trPr>
          <w:trHeight w:val="243"/>
        </w:trPr>
        <w:tc>
          <w:tcPr>
            <w:tcW w:w="100" w:type="dxa"/>
            <w:vAlign w:val="bottom"/>
            <w:tcBorders>
              <w:top w:val="single" w:sz="8" w:color="CCEEFF"/>
            </w:tcBorders>
          </w:tcPr>
          <w:p>
            <w:pPr>
              <w:spacing w:after="0"/>
              <w:rPr>
                <w:sz w:val="21"/>
                <w:szCs w:val="21"/>
                <w:color w:val="auto"/>
              </w:rPr>
            </w:pPr>
          </w:p>
        </w:tc>
        <w:tc>
          <w:tcPr>
            <w:tcW w:w="660" w:type="dxa"/>
            <w:vAlign w:val="bottom"/>
            <w:tcBorders>
              <w:top w:val="single" w:sz="8" w:color="CCEEFF"/>
            </w:tcBorders>
          </w:tcPr>
          <w:p>
            <w:pPr>
              <w:spacing w:after="0"/>
              <w:rPr>
                <w:sz w:val="21"/>
                <w:szCs w:val="21"/>
                <w:color w:val="auto"/>
              </w:rPr>
            </w:pPr>
          </w:p>
        </w:tc>
        <w:tc>
          <w:tcPr>
            <w:tcW w:w="180" w:type="dxa"/>
            <w:vAlign w:val="bottom"/>
            <w:tcBorders>
              <w:top w:val="single" w:sz="8" w:color="CCEEFF"/>
            </w:tcBorders>
          </w:tcPr>
          <w:p>
            <w:pPr>
              <w:spacing w:after="0"/>
              <w:rPr>
                <w:sz w:val="21"/>
                <w:szCs w:val="21"/>
                <w:color w:val="auto"/>
              </w:rPr>
            </w:pPr>
          </w:p>
        </w:tc>
        <w:tc>
          <w:tcPr>
            <w:tcW w:w="140" w:type="dxa"/>
            <w:vAlign w:val="bottom"/>
            <w:tcBorders>
              <w:top w:val="single" w:sz="8" w:color="CCEEFF"/>
            </w:tcBorders>
          </w:tcPr>
          <w:p>
            <w:pPr>
              <w:spacing w:after="0"/>
              <w:rPr>
                <w:sz w:val="21"/>
                <w:szCs w:val="21"/>
                <w:color w:val="auto"/>
              </w:rPr>
            </w:pPr>
          </w:p>
        </w:tc>
        <w:tc>
          <w:tcPr>
            <w:tcW w:w="340" w:type="dxa"/>
            <w:vAlign w:val="bottom"/>
            <w:tcBorders>
              <w:top w:val="single" w:sz="8" w:color="0000EE"/>
            </w:tcBorders>
          </w:tcPr>
          <w:p>
            <w:pPr>
              <w:spacing w:after="0"/>
              <w:rPr>
                <w:sz w:val="21"/>
                <w:szCs w:val="21"/>
                <w:color w:val="auto"/>
              </w:rPr>
            </w:pPr>
          </w:p>
        </w:tc>
        <w:tc>
          <w:tcPr>
            <w:tcW w:w="480" w:type="dxa"/>
            <w:vAlign w:val="bottom"/>
            <w:tcBorders>
              <w:top w:val="single" w:sz="8" w:color="0000EE"/>
            </w:tcBorders>
          </w:tcPr>
          <w:p>
            <w:pPr>
              <w:spacing w:after="0"/>
              <w:rPr>
                <w:sz w:val="21"/>
                <w:szCs w:val="21"/>
                <w:color w:val="auto"/>
              </w:rPr>
            </w:pPr>
          </w:p>
        </w:tc>
        <w:tc>
          <w:tcPr>
            <w:tcW w:w="340" w:type="dxa"/>
            <w:vAlign w:val="bottom"/>
            <w:tcBorders>
              <w:top w:val="single" w:sz="8" w:color="0000EE"/>
            </w:tcBorders>
          </w:tcPr>
          <w:p>
            <w:pPr>
              <w:spacing w:after="0"/>
              <w:rPr>
                <w:sz w:val="21"/>
                <w:szCs w:val="21"/>
                <w:color w:val="auto"/>
              </w:rPr>
            </w:pPr>
          </w:p>
        </w:tc>
        <w:tc>
          <w:tcPr>
            <w:tcW w:w="240" w:type="dxa"/>
            <w:vAlign w:val="bottom"/>
            <w:tcBorders>
              <w:top w:val="single" w:sz="8" w:color="0000EE"/>
            </w:tcBorders>
          </w:tcPr>
          <w:p>
            <w:pPr>
              <w:spacing w:after="0"/>
              <w:rPr>
                <w:sz w:val="21"/>
                <w:szCs w:val="21"/>
                <w:color w:val="auto"/>
              </w:rPr>
            </w:pPr>
          </w:p>
        </w:tc>
        <w:tc>
          <w:tcPr>
            <w:tcW w:w="240" w:type="dxa"/>
            <w:vAlign w:val="bottom"/>
            <w:tcBorders>
              <w:top w:val="single" w:sz="8" w:color="0000EE"/>
            </w:tcBorders>
          </w:tcPr>
          <w:p>
            <w:pPr>
              <w:spacing w:after="0"/>
              <w:rPr>
                <w:sz w:val="21"/>
                <w:szCs w:val="21"/>
                <w:color w:val="auto"/>
              </w:rPr>
            </w:pPr>
          </w:p>
        </w:tc>
        <w:tc>
          <w:tcPr>
            <w:tcW w:w="920" w:type="dxa"/>
            <w:vAlign w:val="bottom"/>
            <w:tcBorders>
              <w:top w:val="single" w:sz="8" w:color="0000EE"/>
            </w:tcBorders>
          </w:tcPr>
          <w:p>
            <w:pPr>
              <w:spacing w:after="0"/>
              <w:rPr>
                <w:sz w:val="21"/>
                <w:szCs w:val="21"/>
                <w:color w:val="auto"/>
              </w:rPr>
            </w:pPr>
          </w:p>
        </w:tc>
        <w:tc>
          <w:tcPr>
            <w:tcW w:w="160" w:type="dxa"/>
            <w:vAlign w:val="bottom"/>
            <w:tcBorders>
              <w:top w:val="single" w:sz="8" w:color="0000EE"/>
            </w:tcBorders>
          </w:tcPr>
          <w:p>
            <w:pPr>
              <w:spacing w:after="0"/>
              <w:rPr>
                <w:sz w:val="21"/>
                <w:szCs w:val="21"/>
                <w:color w:val="auto"/>
              </w:rPr>
            </w:pPr>
          </w:p>
        </w:tc>
        <w:tc>
          <w:tcPr>
            <w:tcW w:w="120" w:type="dxa"/>
            <w:vAlign w:val="bottom"/>
            <w:tcBorders>
              <w:top w:val="single" w:sz="8" w:color="0000EE"/>
            </w:tcBorders>
          </w:tcPr>
          <w:p>
            <w:pPr>
              <w:spacing w:after="0"/>
              <w:rPr>
                <w:sz w:val="21"/>
                <w:szCs w:val="21"/>
                <w:color w:val="auto"/>
              </w:rPr>
            </w:pPr>
          </w:p>
        </w:tc>
        <w:tc>
          <w:tcPr>
            <w:tcW w:w="440" w:type="dxa"/>
            <w:vAlign w:val="bottom"/>
            <w:tcBorders>
              <w:top w:val="single" w:sz="8" w:color="0000EE"/>
            </w:tcBorders>
          </w:tcPr>
          <w:p>
            <w:pPr>
              <w:spacing w:after="0"/>
              <w:rPr>
                <w:sz w:val="21"/>
                <w:szCs w:val="21"/>
                <w:color w:val="auto"/>
              </w:rPr>
            </w:pPr>
          </w:p>
        </w:tc>
        <w:tc>
          <w:tcPr>
            <w:tcW w:w="180" w:type="dxa"/>
            <w:vAlign w:val="bottom"/>
            <w:tcBorders>
              <w:top w:val="single" w:sz="8" w:color="0000EE"/>
            </w:tcBorders>
          </w:tcPr>
          <w:p>
            <w:pPr>
              <w:spacing w:after="0"/>
              <w:rPr>
                <w:sz w:val="21"/>
                <w:szCs w:val="21"/>
                <w:color w:val="auto"/>
              </w:rPr>
            </w:pPr>
          </w:p>
        </w:tc>
        <w:tc>
          <w:tcPr>
            <w:tcW w:w="60" w:type="dxa"/>
            <w:vAlign w:val="bottom"/>
            <w:tcBorders>
              <w:top w:val="single" w:sz="8" w:color="0000EE"/>
            </w:tcBorders>
          </w:tcPr>
          <w:p>
            <w:pPr>
              <w:spacing w:after="0"/>
              <w:rPr>
                <w:sz w:val="21"/>
                <w:szCs w:val="21"/>
                <w:color w:val="auto"/>
              </w:rPr>
            </w:pPr>
          </w:p>
        </w:tc>
        <w:tc>
          <w:tcPr>
            <w:tcW w:w="340" w:type="dxa"/>
            <w:vAlign w:val="bottom"/>
            <w:tcBorders>
              <w:top w:val="single" w:sz="8" w:color="0000EE"/>
            </w:tcBorders>
          </w:tcPr>
          <w:p>
            <w:pPr>
              <w:spacing w:after="0"/>
              <w:rPr>
                <w:sz w:val="21"/>
                <w:szCs w:val="21"/>
                <w:color w:val="auto"/>
              </w:rPr>
            </w:pPr>
          </w:p>
        </w:tc>
        <w:tc>
          <w:tcPr>
            <w:tcW w:w="80" w:type="dxa"/>
            <w:vAlign w:val="bottom"/>
            <w:tcBorders>
              <w:top w:val="single" w:sz="8" w:color="0000EE"/>
            </w:tcBorders>
          </w:tcPr>
          <w:p>
            <w:pPr>
              <w:spacing w:after="0"/>
              <w:rPr>
                <w:sz w:val="21"/>
                <w:szCs w:val="21"/>
                <w:color w:val="auto"/>
              </w:rPr>
            </w:pPr>
          </w:p>
        </w:tc>
        <w:tc>
          <w:tcPr>
            <w:tcW w:w="80" w:type="dxa"/>
            <w:vAlign w:val="bottom"/>
            <w:tcBorders>
              <w:top w:val="single" w:sz="8" w:color="0000EE"/>
            </w:tcBorders>
          </w:tcPr>
          <w:p>
            <w:pPr>
              <w:spacing w:after="0"/>
              <w:rPr>
                <w:sz w:val="21"/>
                <w:szCs w:val="21"/>
                <w:color w:val="auto"/>
              </w:rPr>
            </w:pPr>
          </w:p>
        </w:tc>
        <w:tc>
          <w:tcPr>
            <w:tcW w:w="60" w:type="dxa"/>
            <w:vAlign w:val="bottom"/>
            <w:tcBorders>
              <w:top w:val="single" w:sz="8" w:color="0000EE"/>
            </w:tcBorders>
          </w:tcPr>
          <w:p>
            <w:pPr>
              <w:spacing w:after="0"/>
              <w:rPr>
                <w:sz w:val="21"/>
                <w:szCs w:val="21"/>
                <w:color w:val="auto"/>
              </w:rPr>
            </w:pPr>
          </w:p>
        </w:tc>
        <w:tc>
          <w:tcPr>
            <w:tcW w:w="20" w:type="dxa"/>
            <w:vAlign w:val="bottom"/>
            <w:tcBorders>
              <w:top w:val="single" w:sz="8" w:color="0000EE"/>
            </w:tcBorders>
          </w:tcPr>
          <w:p>
            <w:pPr>
              <w:spacing w:after="0"/>
              <w:rPr>
                <w:sz w:val="21"/>
                <w:szCs w:val="21"/>
                <w:color w:val="auto"/>
              </w:rPr>
            </w:pPr>
          </w:p>
        </w:tc>
        <w:tc>
          <w:tcPr>
            <w:tcW w:w="20" w:type="dxa"/>
            <w:vAlign w:val="bottom"/>
            <w:tcBorders>
              <w:top w:val="single" w:sz="8" w:color="0000EE"/>
            </w:tcBorders>
          </w:tcPr>
          <w:p>
            <w:pPr>
              <w:spacing w:after="0"/>
              <w:rPr>
                <w:sz w:val="21"/>
                <w:szCs w:val="21"/>
                <w:color w:val="auto"/>
              </w:rPr>
            </w:pPr>
          </w:p>
        </w:tc>
        <w:tc>
          <w:tcPr>
            <w:tcW w:w="260" w:type="dxa"/>
            <w:vAlign w:val="bottom"/>
            <w:tcBorders>
              <w:top w:val="single" w:sz="8" w:color="0000EE"/>
            </w:tcBorders>
          </w:tcPr>
          <w:p>
            <w:pPr>
              <w:spacing w:after="0"/>
              <w:rPr>
                <w:sz w:val="21"/>
                <w:szCs w:val="21"/>
                <w:color w:val="auto"/>
              </w:rPr>
            </w:pPr>
          </w:p>
        </w:tc>
        <w:tc>
          <w:tcPr>
            <w:tcW w:w="80" w:type="dxa"/>
            <w:vAlign w:val="bottom"/>
            <w:tcBorders>
              <w:top w:val="single" w:sz="8" w:color="CCEEFF"/>
            </w:tcBorders>
          </w:tcPr>
          <w:p>
            <w:pPr>
              <w:spacing w:after="0"/>
              <w:rPr>
                <w:sz w:val="21"/>
                <w:szCs w:val="21"/>
                <w:color w:val="auto"/>
              </w:rPr>
            </w:pPr>
          </w:p>
        </w:tc>
        <w:tc>
          <w:tcPr>
            <w:tcW w:w="20" w:type="dxa"/>
            <w:vAlign w:val="bottom"/>
            <w:tcBorders>
              <w:top w:val="single" w:sz="8" w:color="CCEEFF"/>
            </w:tcBorders>
          </w:tcPr>
          <w:p>
            <w:pPr>
              <w:spacing w:after="0"/>
              <w:rPr>
                <w:sz w:val="21"/>
                <w:szCs w:val="21"/>
                <w:color w:val="auto"/>
              </w:rPr>
            </w:pPr>
          </w:p>
        </w:tc>
        <w:tc>
          <w:tcPr>
            <w:tcW w:w="380" w:type="dxa"/>
            <w:vAlign w:val="bottom"/>
            <w:tcBorders>
              <w:top w:val="single" w:sz="8" w:color="CCEEFF"/>
            </w:tcBorders>
          </w:tcPr>
          <w:p>
            <w:pPr>
              <w:spacing w:after="0"/>
              <w:rPr>
                <w:sz w:val="21"/>
                <w:szCs w:val="21"/>
                <w:color w:val="auto"/>
              </w:rPr>
            </w:pPr>
          </w:p>
        </w:tc>
        <w:tc>
          <w:tcPr>
            <w:tcW w:w="40" w:type="dxa"/>
            <w:vAlign w:val="bottom"/>
            <w:tcBorders>
              <w:top w:val="single" w:sz="8" w:color="CCEEFF"/>
            </w:tcBorders>
          </w:tcPr>
          <w:p>
            <w:pPr>
              <w:spacing w:after="0"/>
              <w:rPr>
                <w:sz w:val="21"/>
                <w:szCs w:val="21"/>
                <w:color w:val="auto"/>
              </w:rPr>
            </w:pPr>
          </w:p>
        </w:tc>
        <w:tc>
          <w:tcPr>
            <w:tcW w:w="80" w:type="dxa"/>
            <w:vAlign w:val="bottom"/>
            <w:tcBorders>
              <w:top w:val="single" w:sz="8" w:color="CCEEFF"/>
            </w:tcBorders>
          </w:tcPr>
          <w:p>
            <w:pPr>
              <w:spacing w:after="0"/>
              <w:rPr>
                <w:sz w:val="21"/>
                <w:szCs w:val="21"/>
                <w:color w:val="auto"/>
              </w:rPr>
            </w:pPr>
          </w:p>
        </w:tc>
        <w:tc>
          <w:tcPr>
            <w:tcW w:w="100" w:type="dxa"/>
            <w:vAlign w:val="bottom"/>
            <w:tcBorders>
              <w:top w:val="single" w:sz="8" w:color="CCEEFF"/>
            </w:tcBorders>
          </w:tcPr>
          <w:p>
            <w:pPr>
              <w:spacing w:after="0"/>
              <w:rPr>
                <w:sz w:val="21"/>
                <w:szCs w:val="21"/>
                <w:color w:val="auto"/>
              </w:rPr>
            </w:pPr>
          </w:p>
        </w:tc>
        <w:tc>
          <w:tcPr>
            <w:tcW w:w="1580" w:type="dxa"/>
            <w:vAlign w:val="bottom"/>
            <w:tcBorders>
              <w:top w:val="single" w:sz="8" w:color="CCEEFF"/>
            </w:tcBorders>
          </w:tcPr>
          <w:p>
            <w:pPr>
              <w:spacing w:after="0"/>
              <w:rPr>
                <w:sz w:val="21"/>
                <w:szCs w:val="21"/>
                <w:color w:val="auto"/>
              </w:rPr>
            </w:pPr>
          </w:p>
        </w:tc>
        <w:tc>
          <w:tcPr>
            <w:tcW w:w="1740" w:type="dxa"/>
            <w:vAlign w:val="bottom"/>
            <w:tcBorders>
              <w:top w:val="single" w:sz="8" w:color="CCEEFF"/>
            </w:tcBorders>
          </w:tcPr>
          <w:p>
            <w:pPr>
              <w:spacing w:after="0"/>
              <w:rPr>
                <w:sz w:val="21"/>
                <w:szCs w:val="21"/>
                <w:color w:val="auto"/>
              </w:rPr>
            </w:pPr>
          </w:p>
        </w:tc>
        <w:tc>
          <w:tcPr>
            <w:tcW w:w="380" w:type="dxa"/>
            <w:vAlign w:val="bottom"/>
            <w:tcBorders>
              <w:top w:val="single" w:sz="8" w:color="CCEEFF"/>
            </w:tcBorders>
          </w:tcPr>
          <w:p>
            <w:pPr>
              <w:spacing w:after="0"/>
              <w:rPr>
                <w:sz w:val="21"/>
                <w:szCs w:val="21"/>
                <w:color w:val="auto"/>
              </w:rPr>
            </w:pPr>
          </w:p>
        </w:tc>
        <w:tc>
          <w:tcPr>
            <w:tcW w:w="120" w:type="dxa"/>
            <w:vAlign w:val="bottom"/>
            <w:tcBorders>
              <w:top w:val="single" w:sz="8" w:color="CCEEFF"/>
            </w:tcBorders>
          </w:tcPr>
          <w:p>
            <w:pPr>
              <w:spacing w:after="0"/>
              <w:rPr>
                <w:sz w:val="21"/>
                <w:szCs w:val="21"/>
                <w:color w:val="auto"/>
              </w:rPr>
            </w:pPr>
          </w:p>
        </w:tc>
      </w:tr>
      <w:tr>
        <w:trPr>
          <w:trHeight w:val="189"/>
        </w:trPr>
        <w:tc>
          <w:tcPr>
            <w:tcW w:w="100" w:type="dxa"/>
            <w:vAlign w:val="bottom"/>
            <w:shd w:val="clear" w:color="auto" w:fill="CCEEFF"/>
          </w:tcPr>
          <w:p>
            <w:pPr>
              <w:spacing w:after="0"/>
              <w:rPr>
                <w:sz w:val="16"/>
                <w:szCs w:val="16"/>
                <w:color w:val="auto"/>
              </w:rPr>
            </w:pPr>
          </w:p>
        </w:tc>
        <w:tc>
          <w:tcPr>
            <w:tcW w:w="660" w:type="dxa"/>
            <w:vAlign w:val="bottom"/>
            <w:tcBorders>
              <w:right w:val="single" w:sz="8" w:color="CCEEFF"/>
            </w:tcBorders>
            <w:shd w:val="clear" w:color="auto" w:fill="CCEEFF"/>
          </w:tcPr>
          <w:p>
            <w:pPr>
              <w:spacing w:after="0"/>
              <w:rPr>
                <w:sz w:val="16"/>
                <w:szCs w:val="16"/>
                <w:color w:val="auto"/>
              </w:rPr>
            </w:pPr>
          </w:p>
        </w:tc>
        <w:tc>
          <w:tcPr>
            <w:tcW w:w="8720" w:type="dxa"/>
            <w:vAlign w:val="bottom"/>
            <w:gridSpan w:val="28"/>
            <w:shd w:val="clear" w:color="auto" w:fill="CCEEFF"/>
          </w:tcPr>
          <w:p>
            <w:pPr>
              <w:spacing w:after="0" w:line="189" w:lineRule="exact"/>
              <w:rPr>
                <w:rFonts w:ascii="Arial" w:cs="Arial" w:eastAsia="Arial" w:hAnsi="Arial"/>
                <w:sz w:val="20"/>
                <w:szCs w:val="20"/>
                <w:color w:val="0000EE"/>
              </w:rPr>
            </w:pPr>
            <w:hyperlink w:anchor="page7">
              <w:r>
                <w:rPr>
                  <w:rFonts w:ascii="Arial" w:cs="Arial" w:eastAsia="Arial" w:hAnsi="Arial"/>
                  <w:sz w:val="20"/>
                  <w:szCs w:val="20"/>
                  <w:color w:val="0000EE"/>
                </w:rPr>
                <w:t>Consolidated Statements of Comprehensive Income (unaudited) –</w:t>
              </w:r>
            </w:hyperlink>
          </w:p>
        </w:tc>
        <w:tc>
          <w:tcPr>
            <w:tcW w:w="3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r>
      <w:tr>
        <w:trPr>
          <w:trHeight w:val="230"/>
        </w:trPr>
        <w:tc>
          <w:tcPr>
            <w:tcW w:w="100" w:type="dxa"/>
            <w:vAlign w:val="bottom"/>
            <w:tcBorders>
              <w:top w:val="single" w:sz="8" w:color="CCEEFF"/>
            </w:tcBorders>
            <w:shd w:val="clear" w:color="auto" w:fill="CCEEFF"/>
          </w:tcPr>
          <w:p>
            <w:pPr>
              <w:spacing w:after="0"/>
              <w:rPr>
                <w:sz w:val="20"/>
                <w:szCs w:val="20"/>
                <w:color w:val="auto"/>
              </w:rPr>
            </w:pPr>
          </w:p>
        </w:tc>
        <w:tc>
          <w:tcPr>
            <w:tcW w:w="660" w:type="dxa"/>
            <w:vAlign w:val="bottom"/>
            <w:tcBorders>
              <w:top w:val="single" w:sz="8" w:color="CCEEFF"/>
              <w:right w:val="single" w:sz="8" w:color="CCEEFF"/>
            </w:tcBorders>
            <w:shd w:val="clear" w:color="auto" w:fill="CCEEFF"/>
          </w:tcPr>
          <w:p>
            <w:pPr>
              <w:spacing w:after="0"/>
              <w:rPr>
                <w:sz w:val="20"/>
                <w:szCs w:val="20"/>
                <w:color w:val="auto"/>
              </w:rPr>
            </w:pPr>
          </w:p>
        </w:tc>
        <w:tc>
          <w:tcPr>
            <w:tcW w:w="180" w:type="dxa"/>
            <w:vAlign w:val="bottom"/>
            <w:tcBorders>
              <w:top w:val="single" w:sz="8" w:color="0000EE"/>
            </w:tcBorders>
            <w:shd w:val="clear" w:color="auto" w:fill="CCEEFF"/>
          </w:tcPr>
          <w:p>
            <w:pPr>
              <w:spacing w:after="0"/>
              <w:rPr>
                <w:sz w:val="20"/>
                <w:szCs w:val="20"/>
                <w:color w:val="auto"/>
              </w:rPr>
            </w:pPr>
          </w:p>
        </w:tc>
        <w:tc>
          <w:tcPr>
            <w:tcW w:w="140" w:type="dxa"/>
            <w:vAlign w:val="bottom"/>
            <w:tcBorders>
              <w:top w:val="single" w:sz="8" w:color="0000EE"/>
            </w:tcBorders>
            <w:shd w:val="clear" w:color="auto" w:fill="CCEEFF"/>
          </w:tcPr>
          <w:p>
            <w:pPr>
              <w:spacing w:after="0"/>
              <w:rPr>
                <w:sz w:val="20"/>
                <w:szCs w:val="20"/>
                <w:color w:val="auto"/>
              </w:rPr>
            </w:pPr>
          </w:p>
        </w:tc>
        <w:tc>
          <w:tcPr>
            <w:tcW w:w="4900" w:type="dxa"/>
            <w:vAlign w:val="bottom"/>
            <w:tcBorders>
              <w:top w:val="single" w:sz="8" w:color="0000EE"/>
            </w:tcBorders>
            <w:gridSpan w:val="22"/>
            <w:shd w:val="clear" w:color="auto" w:fill="CCEEFF"/>
          </w:tcPr>
          <w:p>
            <w:pPr>
              <w:spacing w:after="0" w:line="209" w:lineRule="exact"/>
              <w:rPr>
                <w:rFonts w:ascii="Arial" w:cs="Arial" w:eastAsia="Arial" w:hAnsi="Arial"/>
                <w:sz w:val="20"/>
                <w:szCs w:val="20"/>
                <w:color w:val="0000EE"/>
                <w:w w:val="89"/>
              </w:rPr>
            </w:pPr>
            <w:hyperlink w:anchor="page7">
              <w:r>
                <w:rPr>
                  <w:rFonts w:ascii="Arial" w:cs="Arial" w:eastAsia="Arial" w:hAnsi="Arial"/>
                  <w:sz w:val="20"/>
                  <w:szCs w:val="20"/>
                  <w:color w:val="0000EE"/>
                  <w:w w:val="89"/>
                </w:rPr>
                <w:t>Three and Nine Months Ended September 30, 2018 and 2017</w:t>
              </w:r>
            </w:hyperlink>
          </w:p>
        </w:tc>
        <w:tc>
          <w:tcPr>
            <w:tcW w:w="3500" w:type="dxa"/>
            <w:vAlign w:val="bottom"/>
            <w:tcBorders>
              <w:top w:val="single" w:sz="8" w:color="CCEEFF"/>
            </w:tcBorders>
            <w:gridSpan w:val="4"/>
            <w:shd w:val="clear" w:color="auto" w:fill="CCEEFF"/>
          </w:tcPr>
          <w:p>
            <w:pPr>
              <w:spacing w:after="0"/>
              <w:rPr>
                <w:sz w:val="20"/>
                <w:szCs w:val="20"/>
                <w:color w:val="auto"/>
              </w:rPr>
            </w:pPr>
          </w:p>
        </w:tc>
        <w:tc>
          <w:tcPr>
            <w:tcW w:w="500" w:type="dxa"/>
            <w:vAlign w:val="bottom"/>
            <w:tcBorders>
              <w:top w:val="single" w:sz="8" w:color="CCEEFF"/>
            </w:tcBorders>
            <w:gridSpan w:val="2"/>
            <w:shd w:val="clear" w:color="auto" w:fill="CCEEFF"/>
          </w:tcPr>
          <w:p>
            <w:pPr>
              <w:jc w:val="right"/>
              <w:ind w:right="40"/>
              <w:spacing w:after="0" w:line="209" w:lineRule="exact"/>
              <w:rPr>
                <w:sz w:val="20"/>
                <w:szCs w:val="20"/>
                <w:color w:val="auto"/>
              </w:rPr>
            </w:pPr>
            <w:r>
              <w:rPr>
                <w:rFonts w:ascii="Arial" w:cs="Arial" w:eastAsia="Arial" w:hAnsi="Arial"/>
                <w:sz w:val="20"/>
                <w:szCs w:val="20"/>
                <w:color w:val="auto"/>
              </w:rPr>
              <w:t>5</w:t>
            </w:r>
          </w:p>
        </w:tc>
      </w:tr>
      <w:tr>
        <w:trPr>
          <w:trHeight w:val="243"/>
        </w:trPr>
        <w:tc>
          <w:tcPr>
            <w:tcW w:w="100" w:type="dxa"/>
            <w:vAlign w:val="bottom"/>
            <w:tcBorders>
              <w:top w:val="single" w:sz="8" w:color="CCEEFF"/>
            </w:tcBorders>
          </w:tcPr>
          <w:p>
            <w:pPr>
              <w:spacing w:after="0"/>
              <w:rPr>
                <w:sz w:val="21"/>
                <w:szCs w:val="21"/>
                <w:color w:val="auto"/>
              </w:rPr>
            </w:pPr>
          </w:p>
        </w:tc>
        <w:tc>
          <w:tcPr>
            <w:tcW w:w="660" w:type="dxa"/>
            <w:vAlign w:val="bottom"/>
            <w:tcBorders>
              <w:top w:val="single" w:sz="8" w:color="CCEEFF"/>
            </w:tcBorders>
          </w:tcPr>
          <w:p>
            <w:pPr>
              <w:spacing w:after="0"/>
              <w:rPr>
                <w:sz w:val="21"/>
                <w:szCs w:val="21"/>
                <w:color w:val="auto"/>
              </w:rPr>
            </w:pPr>
          </w:p>
        </w:tc>
        <w:tc>
          <w:tcPr>
            <w:tcW w:w="180" w:type="dxa"/>
            <w:vAlign w:val="bottom"/>
            <w:tcBorders>
              <w:top w:val="single" w:sz="8" w:color="CCEEFF"/>
            </w:tcBorders>
          </w:tcPr>
          <w:p>
            <w:pPr>
              <w:spacing w:after="0"/>
              <w:rPr>
                <w:sz w:val="21"/>
                <w:szCs w:val="21"/>
                <w:color w:val="auto"/>
              </w:rPr>
            </w:pPr>
          </w:p>
        </w:tc>
        <w:tc>
          <w:tcPr>
            <w:tcW w:w="140" w:type="dxa"/>
            <w:vAlign w:val="bottom"/>
            <w:tcBorders>
              <w:top w:val="single" w:sz="8" w:color="CCEEFF"/>
            </w:tcBorders>
          </w:tcPr>
          <w:p>
            <w:pPr>
              <w:spacing w:after="0"/>
              <w:rPr>
                <w:sz w:val="21"/>
                <w:szCs w:val="21"/>
                <w:color w:val="auto"/>
              </w:rPr>
            </w:pPr>
          </w:p>
        </w:tc>
        <w:tc>
          <w:tcPr>
            <w:tcW w:w="340" w:type="dxa"/>
            <w:vAlign w:val="bottom"/>
            <w:tcBorders>
              <w:top w:val="single" w:sz="8" w:color="0000EE"/>
            </w:tcBorders>
          </w:tcPr>
          <w:p>
            <w:pPr>
              <w:spacing w:after="0"/>
              <w:rPr>
                <w:sz w:val="21"/>
                <w:szCs w:val="21"/>
                <w:color w:val="auto"/>
              </w:rPr>
            </w:pPr>
          </w:p>
        </w:tc>
        <w:tc>
          <w:tcPr>
            <w:tcW w:w="480" w:type="dxa"/>
            <w:vAlign w:val="bottom"/>
            <w:tcBorders>
              <w:top w:val="single" w:sz="8" w:color="0000EE"/>
            </w:tcBorders>
          </w:tcPr>
          <w:p>
            <w:pPr>
              <w:spacing w:after="0"/>
              <w:rPr>
                <w:sz w:val="21"/>
                <w:szCs w:val="21"/>
                <w:color w:val="auto"/>
              </w:rPr>
            </w:pPr>
          </w:p>
        </w:tc>
        <w:tc>
          <w:tcPr>
            <w:tcW w:w="340" w:type="dxa"/>
            <w:vAlign w:val="bottom"/>
            <w:tcBorders>
              <w:top w:val="single" w:sz="8" w:color="0000EE"/>
            </w:tcBorders>
          </w:tcPr>
          <w:p>
            <w:pPr>
              <w:spacing w:after="0"/>
              <w:rPr>
                <w:sz w:val="21"/>
                <w:szCs w:val="21"/>
                <w:color w:val="auto"/>
              </w:rPr>
            </w:pPr>
          </w:p>
        </w:tc>
        <w:tc>
          <w:tcPr>
            <w:tcW w:w="240" w:type="dxa"/>
            <w:vAlign w:val="bottom"/>
            <w:tcBorders>
              <w:top w:val="single" w:sz="8" w:color="0000EE"/>
            </w:tcBorders>
          </w:tcPr>
          <w:p>
            <w:pPr>
              <w:spacing w:after="0"/>
              <w:rPr>
                <w:sz w:val="21"/>
                <w:szCs w:val="21"/>
                <w:color w:val="auto"/>
              </w:rPr>
            </w:pPr>
          </w:p>
        </w:tc>
        <w:tc>
          <w:tcPr>
            <w:tcW w:w="240" w:type="dxa"/>
            <w:vAlign w:val="bottom"/>
            <w:tcBorders>
              <w:top w:val="single" w:sz="8" w:color="0000EE"/>
            </w:tcBorders>
          </w:tcPr>
          <w:p>
            <w:pPr>
              <w:spacing w:after="0"/>
              <w:rPr>
                <w:sz w:val="21"/>
                <w:szCs w:val="21"/>
                <w:color w:val="auto"/>
              </w:rPr>
            </w:pPr>
          </w:p>
        </w:tc>
        <w:tc>
          <w:tcPr>
            <w:tcW w:w="920" w:type="dxa"/>
            <w:vAlign w:val="bottom"/>
            <w:tcBorders>
              <w:top w:val="single" w:sz="8" w:color="0000EE"/>
            </w:tcBorders>
          </w:tcPr>
          <w:p>
            <w:pPr>
              <w:spacing w:after="0"/>
              <w:rPr>
                <w:sz w:val="21"/>
                <w:szCs w:val="21"/>
                <w:color w:val="auto"/>
              </w:rPr>
            </w:pPr>
          </w:p>
        </w:tc>
        <w:tc>
          <w:tcPr>
            <w:tcW w:w="160" w:type="dxa"/>
            <w:vAlign w:val="bottom"/>
            <w:tcBorders>
              <w:top w:val="single" w:sz="8" w:color="0000EE"/>
            </w:tcBorders>
          </w:tcPr>
          <w:p>
            <w:pPr>
              <w:spacing w:after="0"/>
              <w:rPr>
                <w:sz w:val="21"/>
                <w:szCs w:val="21"/>
                <w:color w:val="auto"/>
              </w:rPr>
            </w:pPr>
          </w:p>
        </w:tc>
        <w:tc>
          <w:tcPr>
            <w:tcW w:w="120" w:type="dxa"/>
            <w:vAlign w:val="bottom"/>
            <w:tcBorders>
              <w:top w:val="single" w:sz="8" w:color="0000EE"/>
            </w:tcBorders>
          </w:tcPr>
          <w:p>
            <w:pPr>
              <w:spacing w:after="0"/>
              <w:rPr>
                <w:sz w:val="21"/>
                <w:szCs w:val="21"/>
                <w:color w:val="auto"/>
              </w:rPr>
            </w:pPr>
          </w:p>
        </w:tc>
        <w:tc>
          <w:tcPr>
            <w:tcW w:w="440" w:type="dxa"/>
            <w:vAlign w:val="bottom"/>
            <w:tcBorders>
              <w:top w:val="single" w:sz="8" w:color="0000EE"/>
            </w:tcBorders>
          </w:tcPr>
          <w:p>
            <w:pPr>
              <w:spacing w:after="0"/>
              <w:rPr>
                <w:sz w:val="21"/>
                <w:szCs w:val="21"/>
                <w:color w:val="auto"/>
              </w:rPr>
            </w:pPr>
          </w:p>
        </w:tc>
        <w:tc>
          <w:tcPr>
            <w:tcW w:w="180" w:type="dxa"/>
            <w:vAlign w:val="bottom"/>
            <w:tcBorders>
              <w:top w:val="single" w:sz="8" w:color="0000EE"/>
            </w:tcBorders>
          </w:tcPr>
          <w:p>
            <w:pPr>
              <w:spacing w:after="0"/>
              <w:rPr>
                <w:sz w:val="21"/>
                <w:szCs w:val="21"/>
                <w:color w:val="auto"/>
              </w:rPr>
            </w:pPr>
          </w:p>
        </w:tc>
        <w:tc>
          <w:tcPr>
            <w:tcW w:w="60" w:type="dxa"/>
            <w:vAlign w:val="bottom"/>
            <w:tcBorders>
              <w:top w:val="single" w:sz="8" w:color="0000EE"/>
            </w:tcBorders>
          </w:tcPr>
          <w:p>
            <w:pPr>
              <w:spacing w:after="0"/>
              <w:rPr>
                <w:sz w:val="21"/>
                <w:szCs w:val="21"/>
                <w:color w:val="auto"/>
              </w:rPr>
            </w:pPr>
          </w:p>
        </w:tc>
        <w:tc>
          <w:tcPr>
            <w:tcW w:w="340" w:type="dxa"/>
            <w:vAlign w:val="bottom"/>
            <w:tcBorders>
              <w:top w:val="single" w:sz="8" w:color="0000EE"/>
            </w:tcBorders>
          </w:tcPr>
          <w:p>
            <w:pPr>
              <w:spacing w:after="0"/>
              <w:rPr>
                <w:sz w:val="21"/>
                <w:szCs w:val="21"/>
                <w:color w:val="auto"/>
              </w:rPr>
            </w:pPr>
          </w:p>
        </w:tc>
        <w:tc>
          <w:tcPr>
            <w:tcW w:w="80" w:type="dxa"/>
            <w:vAlign w:val="bottom"/>
            <w:tcBorders>
              <w:top w:val="single" w:sz="8" w:color="0000EE"/>
            </w:tcBorders>
          </w:tcPr>
          <w:p>
            <w:pPr>
              <w:spacing w:after="0"/>
              <w:rPr>
                <w:sz w:val="21"/>
                <w:szCs w:val="21"/>
                <w:color w:val="auto"/>
              </w:rPr>
            </w:pPr>
          </w:p>
        </w:tc>
        <w:tc>
          <w:tcPr>
            <w:tcW w:w="80" w:type="dxa"/>
            <w:vAlign w:val="bottom"/>
            <w:tcBorders>
              <w:top w:val="single" w:sz="8" w:color="0000EE"/>
            </w:tcBorders>
          </w:tcPr>
          <w:p>
            <w:pPr>
              <w:spacing w:after="0"/>
              <w:rPr>
                <w:sz w:val="21"/>
                <w:szCs w:val="21"/>
                <w:color w:val="auto"/>
              </w:rPr>
            </w:pPr>
          </w:p>
        </w:tc>
        <w:tc>
          <w:tcPr>
            <w:tcW w:w="60" w:type="dxa"/>
            <w:vAlign w:val="bottom"/>
            <w:tcBorders>
              <w:top w:val="single" w:sz="8" w:color="0000EE"/>
            </w:tcBorders>
          </w:tcPr>
          <w:p>
            <w:pPr>
              <w:spacing w:after="0"/>
              <w:rPr>
                <w:sz w:val="21"/>
                <w:szCs w:val="21"/>
                <w:color w:val="auto"/>
              </w:rPr>
            </w:pPr>
          </w:p>
        </w:tc>
        <w:tc>
          <w:tcPr>
            <w:tcW w:w="20" w:type="dxa"/>
            <w:vAlign w:val="bottom"/>
            <w:tcBorders>
              <w:top w:val="single" w:sz="8" w:color="0000EE"/>
            </w:tcBorders>
          </w:tcPr>
          <w:p>
            <w:pPr>
              <w:spacing w:after="0"/>
              <w:rPr>
                <w:sz w:val="21"/>
                <w:szCs w:val="21"/>
                <w:color w:val="auto"/>
              </w:rPr>
            </w:pPr>
          </w:p>
        </w:tc>
        <w:tc>
          <w:tcPr>
            <w:tcW w:w="20" w:type="dxa"/>
            <w:vAlign w:val="bottom"/>
            <w:tcBorders>
              <w:top w:val="single" w:sz="8" w:color="0000EE"/>
            </w:tcBorders>
          </w:tcPr>
          <w:p>
            <w:pPr>
              <w:spacing w:after="0"/>
              <w:rPr>
                <w:sz w:val="21"/>
                <w:szCs w:val="21"/>
                <w:color w:val="auto"/>
              </w:rPr>
            </w:pPr>
          </w:p>
        </w:tc>
        <w:tc>
          <w:tcPr>
            <w:tcW w:w="260" w:type="dxa"/>
            <w:vAlign w:val="bottom"/>
            <w:tcBorders>
              <w:top w:val="single" w:sz="8" w:color="0000EE"/>
            </w:tcBorders>
          </w:tcPr>
          <w:p>
            <w:pPr>
              <w:spacing w:after="0"/>
              <w:rPr>
                <w:sz w:val="21"/>
                <w:szCs w:val="21"/>
                <w:color w:val="auto"/>
              </w:rPr>
            </w:pPr>
          </w:p>
        </w:tc>
        <w:tc>
          <w:tcPr>
            <w:tcW w:w="80" w:type="dxa"/>
            <w:vAlign w:val="bottom"/>
            <w:tcBorders>
              <w:top w:val="single" w:sz="8" w:color="0000EE"/>
            </w:tcBorders>
          </w:tcPr>
          <w:p>
            <w:pPr>
              <w:spacing w:after="0"/>
              <w:rPr>
                <w:sz w:val="21"/>
                <w:szCs w:val="21"/>
                <w:color w:val="auto"/>
              </w:rPr>
            </w:pPr>
          </w:p>
        </w:tc>
        <w:tc>
          <w:tcPr>
            <w:tcW w:w="20" w:type="dxa"/>
            <w:vAlign w:val="bottom"/>
            <w:tcBorders>
              <w:top w:val="single" w:sz="8" w:color="0000EE"/>
            </w:tcBorders>
          </w:tcPr>
          <w:p>
            <w:pPr>
              <w:spacing w:after="0"/>
              <w:rPr>
                <w:sz w:val="21"/>
                <w:szCs w:val="21"/>
                <w:color w:val="auto"/>
              </w:rPr>
            </w:pPr>
          </w:p>
        </w:tc>
        <w:tc>
          <w:tcPr>
            <w:tcW w:w="380" w:type="dxa"/>
            <w:vAlign w:val="bottom"/>
            <w:tcBorders>
              <w:top w:val="single" w:sz="8" w:color="0000EE"/>
            </w:tcBorders>
          </w:tcPr>
          <w:p>
            <w:pPr>
              <w:spacing w:after="0"/>
              <w:rPr>
                <w:sz w:val="21"/>
                <w:szCs w:val="21"/>
                <w:color w:val="auto"/>
              </w:rPr>
            </w:pPr>
          </w:p>
        </w:tc>
        <w:tc>
          <w:tcPr>
            <w:tcW w:w="40" w:type="dxa"/>
            <w:vAlign w:val="bottom"/>
            <w:tcBorders>
              <w:top w:val="single" w:sz="8" w:color="CCEEFF"/>
            </w:tcBorders>
          </w:tcPr>
          <w:p>
            <w:pPr>
              <w:spacing w:after="0"/>
              <w:rPr>
                <w:sz w:val="21"/>
                <w:szCs w:val="21"/>
                <w:color w:val="auto"/>
              </w:rPr>
            </w:pPr>
          </w:p>
        </w:tc>
        <w:tc>
          <w:tcPr>
            <w:tcW w:w="80" w:type="dxa"/>
            <w:vAlign w:val="bottom"/>
            <w:tcBorders>
              <w:top w:val="single" w:sz="8" w:color="CCEEFF"/>
            </w:tcBorders>
          </w:tcPr>
          <w:p>
            <w:pPr>
              <w:spacing w:after="0"/>
              <w:rPr>
                <w:sz w:val="21"/>
                <w:szCs w:val="21"/>
                <w:color w:val="auto"/>
              </w:rPr>
            </w:pPr>
          </w:p>
        </w:tc>
        <w:tc>
          <w:tcPr>
            <w:tcW w:w="100" w:type="dxa"/>
            <w:vAlign w:val="bottom"/>
            <w:tcBorders>
              <w:top w:val="single" w:sz="8" w:color="CCEEFF"/>
            </w:tcBorders>
          </w:tcPr>
          <w:p>
            <w:pPr>
              <w:spacing w:after="0"/>
              <w:rPr>
                <w:sz w:val="21"/>
                <w:szCs w:val="21"/>
                <w:color w:val="auto"/>
              </w:rPr>
            </w:pPr>
          </w:p>
        </w:tc>
        <w:tc>
          <w:tcPr>
            <w:tcW w:w="1580" w:type="dxa"/>
            <w:vAlign w:val="bottom"/>
            <w:tcBorders>
              <w:top w:val="single" w:sz="8" w:color="CCEEFF"/>
            </w:tcBorders>
          </w:tcPr>
          <w:p>
            <w:pPr>
              <w:spacing w:after="0"/>
              <w:rPr>
                <w:sz w:val="21"/>
                <w:szCs w:val="21"/>
                <w:color w:val="auto"/>
              </w:rPr>
            </w:pPr>
          </w:p>
        </w:tc>
        <w:tc>
          <w:tcPr>
            <w:tcW w:w="1740" w:type="dxa"/>
            <w:vAlign w:val="bottom"/>
            <w:tcBorders>
              <w:top w:val="single" w:sz="8" w:color="CCEEFF"/>
            </w:tcBorders>
          </w:tcPr>
          <w:p>
            <w:pPr>
              <w:spacing w:after="0"/>
              <w:rPr>
                <w:sz w:val="21"/>
                <w:szCs w:val="21"/>
                <w:color w:val="auto"/>
              </w:rPr>
            </w:pPr>
          </w:p>
        </w:tc>
        <w:tc>
          <w:tcPr>
            <w:tcW w:w="380" w:type="dxa"/>
            <w:vAlign w:val="bottom"/>
            <w:tcBorders>
              <w:top w:val="single" w:sz="8" w:color="CCEEFF"/>
            </w:tcBorders>
          </w:tcPr>
          <w:p>
            <w:pPr>
              <w:spacing w:after="0"/>
              <w:rPr>
                <w:sz w:val="21"/>
                <w:szCs w:val="21"/>
                <w:color w:val="auto"/>
              </w:rPr>
            </w:pPr>
          </w:p>
        </w:tc>
        <w:tc>
          <w:tcPr>
            <w:tcW w:w="120" w:type="dxa"/>
            <w:vAlign w:val="bottom"/>
            <w:tcBorders>
              <w:top w:val="single" w:sz="8" w:color="CCEEFF"/>
            </w:tcBorders>
          </w:tcPr>
          <w:p>
            <w:pPr>
              <w:spacing w:after="0"/>
              <w:rPr>
                <w:sz w:val="21"/>
                <w:szCs w:val="21"/>
                <w:color w:val="auto"/>
              </w:rPr>
            </w:pPr>
          </w:p>
        </w:tc>
      </w:tr>
      <w:tr>
        <w:trPr>
          <w:trHeight w:val="189"/>
        </w:trPr>
        <w:tc>
          <w:tcPr>
            <w:tcW w:w="100" w:type="dxa"/>
            <w:vAlign w:val="bottom"/>
            <w:shd w:val="clear" w:color="auto" w:fill="CCEEFF"/>
          </w:tcPr>
          <w:p>
            <w:pPr>
              <w:spacing w:after="0"/>
              <w:rPr>
                <w:sz w:val="16"/>
                <w:szCs w:val="16"/>
                <w:color w:val="auto"/>
              </w:rPr>
            </w:pPr>
          </w:p>
        </w:tc>
        <w:tc>
          <w:tcPr>
            <w:tcW w:w="660" w:type="dxa"/>
            <w:vAlign w:val="bottom"/>
            <w:tcBorders>
              <w:right w:val="single" w:sz="8" w:color="CCEEFF"/>
            </w:tcBorders>
            <w:shd w:val="clear" w:color="auto" w:fill="CCEEFF"/>
          </w:tcPr>
          <w:p>
            <w:pPr>
              <w:spacing w:after="0"/>
              <w:rPr>
                <w:sz w:val="16"/>
                <w:szCs w:val="16"/>
                <w:color w:val="auto"/>
              </w:rPr>
            </w:pPr>
          </w:p>
        </w:tc>
        <w:tc>
          <w:tcPr>
            <w:tcW w:w="8720" w:type="dxa"/>
            <w:vAlign w:val="bottom"/>
            <w:gridSpan w:val="28"/>
            <w:shd w:val="clear" w:color="auto" w:fill="CCEEFF"/>
          </w:tcPr>
          <w:p>
            <w:pPr>
              <w:spacing w:after="0" w:line="189" w:lineRule="exact"/>
              <w:rPr>
                <w:rFonts w:ascii="Arial" w:cs="Arial" w:eastAsia="Arial" w:hAnsi="Arial"/>
                <w:sz w:val="20"/>
                <w:szCs w:val="20"/>
                <w:color w:val="0000EE"/>
              </w:rPr>
            </w:pPr>
            <w:hyperlink w:anchor="page8">
              <w:r>
                <w:rPr>
                  <w:rFonts w:ascii="Arial" w:cs="Arial" w:eastAsia="Arial" w:hAnsi="Arial"/>
                  <w:sz w:val="20"/>
                  <w:szCs w:val="20"/>
                  <w:color w:val="0000EE"/>
                </w:rPr>
                <w:t>Consolidated Statements of Capitalization (unaudited) –</w:t>
              </w:r>
            </w:hyperlink>
          </w:p>
        </w:tc>
        <w:tc>
          <w:tcPr>
            <w:tcW w:w="3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r>
      <w:tr>
        <w:trPr>
          <w:trHeight w:val="230"/>
        </w:trPr>
        <w:tc>
          <w:tcPr>
            <w:tcW w:w="100" w:type="dxa"/>
            <w:vAlign w:val="bottom"/>
            <w:tcBorders>
              <w:top w:val="single" w:sz="8" w:color="CCEEFF"/>
            </w:tcBorders>
            <w:shd w:val="clear" w:color="auto" w:fill="CCEEFF"/>
          </w:tcPr>
          <w:p>
            <w:pPr>
              <w:spacing w:after="0"/>
              <w:rPr>
                <w:sz w:val="20"/>
                <w:szCs w:val="20"/>
                <w:color w:val="auto"/>
              </w:rPr>
            </w:pPr>
          </w:p>
        </w:tc>
        <w:tc>
          <w:tcPr>
            <w:tcW w:w="660" w:type="dxa"/>
            <w:vAlign w:val="bottom"/>
            <w:tcBorders>
              <w:top w:val="single" w:sz="8" w:color="CCEEFF"/>
              <w:right w:val="single" w:sz="8" w:color="CCEEFF"/>
            </w:tcBorders>
            <w:shd w:val="clear" w:color="auto" w:fill="CCEEFF"/>
          </w:tcPr>
          <w:p>
            <w:pPr>
              <w:spacing w:after="0"/>
              <w:rPr>
                <w:sz w:val="20"/>
                <w:szCs w:val="20"/>
                <w:color w:val="auto"/>
              </w:rPr>
            </w:pPr>
          </w:p>
        </w:tc>
        <w:tc>
          <w:tcPr>
            <w:tcW w:w="180" w:type="dxa"/>
            <w:vAlign w:val="bottom"/>
            <w:tcBorders>
              <w:top w:val="single" w:sz="8" w:color="0000EE"/>
            </w:tcBorders>
            <w:shd w:val="clear" w:color="auto" w:fill="CCEEFF"/>
          </w:tcPr>
          <w:p>
            <w:pPr>
              <w:spacing w:after="0"/>
              <w:rPr>
                <w:sz w:val="20"/>
                <w:szCs w:val="20"/>
                <w:color w:val="auto"/>
              </w:rPr>
            </w:pPr>
          </w:p>
        </w:tc>
        <w:tc>
          <w:tcPr>
            <w:tcW w:w="140" w:type="dxa"/>
            <w:vAlign w:val="bottom"/>
            <w:tcBorders>
              <w:top w:val="single" w:sz="8" w:color="0000EE"/>
            </w:tcBorders>
            <w:shd w:val="clear" w:color="auto" w:fill="CCEEFF"/>
          </w:tcPr>
          <w:p>
            <w:pPr>
              <w:spacing w:after="0"/>
              <w:rPr>
                <w:sz w:val="20"/>
                <w:szCs w:val="20"/>
                <w:color w:val="auto"/>
              </w:rPr>
            </w:pPr>
          </w:p>
        </w:tc>
        <w:tc>
          <w:tcPr>
            <w:tcW w:w="4120" w:type="dxa"/>
            <w:vAlign w:val="bottom"/>
            <w:tcBorders>
              <w:top w:val="single" w:sz="8" w:color="0000EE"/>
            </w:tcBorders>
            <w:gridSpan w:val="17"/>
            <w:shd w:val="clear" w:color="auto" w:fill="CCEEFF"/>
          </w:tcPr>
          <w:p>
            <w:pPr>
              <w:spacing w:after="0" w:line="209" w:lineRule="exact"/>
              <w:rPr>
                <w:rFonts w:ascii="Arial" w:cs="Arial" w:eastAsia="Arial" w:hAnsi="Arial"/>
                <w:sz w:val="20"/>
                <w:szCs w:val="20"/>
                <w:color w:val="0000EE"/>
              </w:rPr>
            </w:pPr>
            <w:hyperlink w:anchor="page8">
              <w:r>
                <w:rPr>
                  <w:rFonts w:ascii="Arial" w:cs="Arial" w:eastAsia="Arial" w:hAnsi="Arial"/>
                  <w:sz w:val="20"/>
                  <w:szCs w:val="20"/>
                  <w:color w:val="0000EE"/>
                </w:rPr>
                <w:t>September 30, 2018 and December 31, 2017</w:t>
              </w:r>
            </w:hyperlink>
          </w:p>
        </w:tc>
        <w:tc>
          <w:tcPr>
            <w:tcW w:w="4280" w:type="dxa"/>
            <w:vAlign w:val="bottom"/>
            <w:tcBorders>
              <w:top w:val="single" w:sz="8" w:color="CCEEFF"/>
            </w:tcBorders>
            <w:gridSpan w:val="9"/>
            <w:shd w:val="clear" w:color="auto" w:fill="CCEEFF"/>
          </w:tcPr>
          <w:p>
            <w:pPr>
              <w:spacing w:after="0"/>
              <w:rPr>
                <w:sz w:val="20"/>
                <w:szCs w:val="20"/>
                <w:color w:val="auto"/>
              </w:rPr>
            </w:pPr>
          </w:p>
        </w:tc>
        <w:tc>
          <w:tcPr>
            <w:tcW w:w="500" w:type="dxa"/>
            <w:vAlign w:val="bottom"/>
            <w:tcBorders>
              <w:top w:val="single" w:sz="8" w:color="CCEEFF"/>
            </w:tcBorders>
            <w:gridSpan w:val="2"/>
            <w:shd w:val="clear" w:color="auto" w:fill="CCEEFF"/>
          </w:tcPr>
          <w:p>
            <w:pPr>
              <w:jc w:val="right"/>
              <w:ind w:right="40"/>
              <w:spacing w:after="0" w:line="209" w:lineRule="exact"/>
              <w:rPr>
                <w:sz w:val="20"/>
                <w:szCs w:val="20"/>
                <w:color w:val="auto"/>
              </w:rPr>
            </w:pPr>
            <w:r>
              <w:rPr>
                <w:rFonts w:ascii="Arial" w:cs="Arial" w:eastAsia="Arial" w:hAnsi="Arial"/>
                <w:sz w:val="20"/>
                <w:szCs w:val="20"/>
                <w:color w:val="auto"/>
              </w:rPr>
              <w:t>6</w:t>
            </w:r>
          </w:p>
        </w:tc>
      </w:tr>
      <w:tr>
        <w:trPr>
          <w:trHeight w:val="243"/>
        </w:trPr>
        <w:tc>
          <w:tcPr>
            <w:tcW w:w="100" w:type="dxa"/>
            <w:vAlign w:val="bottom"/>
            <w:tcBorders>
              <w:top w:val="single" w:sz="8" w:color="CCEEFF"/>
            </w:tcBorders>
          </w:tcPr>
          <w:p>
            <w:pPr>
              <w:spacing w:after="0"/>
              <w:rPr>
                <w:sz w:val="21"/>
                <w:szCs w:val="21"/>
                <w:color w:val="auto"/>
              </w:rPr>
            </w:pPr>
          </w:p>
        </w:tc>
        <w:tc>
          <w:tcPr>
            <w:tcW w:w="660" w:type="dxa"/>
            <w:vAlign w:val="bottom"/>
            <w:tcBorders>
              <w:top w:val="single" w:sz="8" w:color="CCEEFF"/>
            </w:tcBorders>
          </w:tcPr>
          <w:p>
            <w:pPr>
              <w:spacing w:after="0"/>
              <w:rPr>
                <w:sz w:val="21"/>
                <w:szCs w:val="21"/>
                <w:color w:val="auto"/>
              </w:rPr>
            </w:pPr>
          </w:p>
        </w:tc>
        <w:tc>
          <w:tcPr>
            <w:tcW w:w="180" w:type="dxa"/>
            <w:vAlign w:val="bottom"/>
            <w:tcBorders>
              <w:top w:val="single" w:sz="8" w:color="CCEEFF"/>
            </w:tcBorders>
          </w:tcPr>
          <w:p>
            <w:pPr>
              <w:spacing w:after="0"/>
              <w:rPr>
                <w:sz w:val="21"/>
                <w:szCs w:val="21"/>
                <w:color w:val="auto"/>
              </w:rPr>
            </w:pPr>
          </w:p>
        </w:tc>
        <w:tc>
          <w:tcPr>
            <w:tcW w:w="140" w:type="dxa"/>
            <w:vAlign w:val="bottom"/>
            <w:tcBorders>
              <w:top w:val="single" w:sz="8" w:color="CCEEFF"/>
            </w:tcBorders>
          </w:tcPr>
          <w:p>
            <w:pPr>
              <w:spacing w:after="0"/>
              <w:rPr>
                <w:sz w:val="21"/>
                <w:szCs w:val="21"/>
                <w:color w:val="auto"/>
              </w:rPr>
            </w:pPr>
          </w:p>
        </w:tc>
        <w:tc>
          <w:tcPr>
            <w:tcW w:w="340" w:type="dxa"/>
            <w:vAlign w:val="bottom"/>
            <w:tcBorders>
              <w:top w:val="single" w:sz="8" w:color="0000EE"/>
            </w:tcBorders>
          </w:tcPr>
          <w:p>
            <w:pPr>
              <w:spacing w:after="0"/>
              <w:rPr>
                <w:sz w:val="21"/>
                <w:szCs w:val="21"/>
                <w:color w:val="auto"/>
              </w:rPr>
            </w:pPr>
          </w:p>
        </w:tc>
        <w:tc>
          <w:tcPr>
            <w:tcW w:w="480" w:type="dxa"/>
            <w:vAlign w:val="bottom"/>
            <w:tcBorders>
              <w:top w:val="single" w:sz="8" w:color="0000EE"/>
            </w:tcBorders>
          </w:tcPr>
          <w:p>
            <w:pPr>
              <w:spacing w:after="0"/>
              <w:rPr>
                <w:sz w:val="21"/>
                <w:szCs w:val="21"/>
                <w:color w:val="auto"/>
              </w:rPr>
            </w:pPr>
          </w:p>
        </w:tc>
        <w:tc>
          <w:tcPr>
            <w:tcW w:w="340" w:type="dxa"/>
            <w:vAlign w:val="bottom"/>
            <w:tcBorders>
              <w:top w:val="single" w:sz="8" w:color="0000EE"/>
            </w:tcBorders>
          </w:tcPr>
          <w:p>
            <w:pPr>
              <w:spacing w:after="0"/>
              <w:rPr>
                <w:sz w:val="21"/>
                <w:szCs w:val="21"/>
                <w:color w:val="auto"/>
              </w:rPr>
            </w:pPr>
          </w:p>
        </w:tc>
        <w:tc>
          <w:tcPr>
            <w:tcW w:w="240" w:type="dxa"/>
            <w:vAlign w:val="bottom"/>
            <w:tcBorders>
              <w:top w:val="single" w:sz="8" w:color="0000EE"/>
            </w:tcBorders>
          </w:tcPr>
          <w:p>
            <w:pPr>
              <w:spacing w:after="0"/>
              <w:rPr>
                <w:sz w:val="21"/>
                <w:szCs w:val="21"/>
                <w:color w:val="auto"/>
              </w:rPr>
            </w:pPr>
          </w:p>
        </w:tc>
        <w:tc>
          <w:tcPr>
            <w:tcW w:w="240" w:type="dxa"/>
            <w:vAlign w:val="bottom"/>
            <w:tcBorders>
              <w:top w:val="single" w:sz="8" w:color="0000EE"/>
            </w:tcBorders>
          </w:tcPr>
          <w:p>
            <w:pPr>
              <w:spacing w:after="0"/>
              <w:rPr>
                <w:sz w:val="21"/>
                <w:szCs w:val="21"/>
                <w:color w:val="auto"/>
              </w:rPr>
            </w:pPr>
          </w:p>
        </w:tc>
        <w:tc>
          <w:tcPr>
            <w:tcW w:w="920" w:type="dxa"/>
            <w:vAlign w:val="bottom"/>
            <w:tcBorders>
              <w:top w:val="single" w:sz="8" w:color="0000EE"/>
            </w:tcBorders>
          </w:tcPr>
          <w:p>
            <w:pPr>
              <w:spacing w:after="0"/>
              <w:rPr>
                <w:sz w:val="21"/>
                <w:szCs w:val="21"/>
                <w:color w:val="auto"/>
              </w:rPr>
            </w:pPr>
          </w:p>
        </w:tc>
        <w:tc>
          <w:tcPr>
            <w:tcW w:w="160" w:type="dxa"/>
            <w:vAlign w:val="bottom"/>
            <w:tcBorders>
              <w:top w:val="single" w:sz="8" w:color="0000EE"/>
            </w:tcBorders>
          </w:tcPr>
          <w:p>
            <w:pPr>
              <w:spacing w:after="0"/>
              <w:rPr>
                <w:sz w:val="21"/>
                <w:szCs w:val="21"/>
                <w:color w:val="auto"/>
              </w:rPr>
            </w:pPr>
          </w:p>
        </w:tc>
        <w:tc>
          <w:tcPr>
            <w:tcW w:w="120" w:type="dxa"/>
            <w:vAlign w:val="bottom"/>
            <w:tcBorders>
              <w:top w:val="single" w:sz="8" w:color="0000EE"/>
            </w:tcBorders>
          </w:tcPr>
          <w:p>
            <w:pPr>
              <w:spacing w:after="0"/>
              <w:rPr>
                <w:sz w:val="21"/>
                <w:szCs w:val="21"/>
                <w:color w:val="auto"/>
              </w:rPr>
            </w:pPr>
          </w:p>
        </w:tc>
        <w:tc>
          <w:tcPr>
            <w:tcW w:w="440" w:type="dxa"/>
            <w:vAlign w:val="bottom"/>
            <w:tcBorders>
              <w:top w:val="single" w:sz="8" w:color="0000EE"/>
            </w:tcBorders>
          </w:tcPr>
          <w:p>
            <w:pPr>
              <w:spacing w:after="0"/>
              <w:rPr>
                <w:sz w:val="21"/>
                <w:szCs w:val="21"/>
                <w:color w:val="auto"/>
              </w:rPr>
            </w:pPr>
          </w:p>
        </w:tc>
        <w:tc>
          <w:tcPr>
            <w:tcW w:w="180" w:type="dxa"/>
            <w:vAlign w:val="bottom"/>
            <w:tcBorders>
              <w:top w:val="single" w:sz="8" w:color="0000EE"/>
            </w:tcBorders>
          </w:tcPr>
          <w:p>
            <w:pPr>
              <w:spacing w:after="0"/>
              <w:rPr>
                <w:sz w:val="21"/>
                <w:szCs w:val="21"/>
                <w:color w:val="auto"/>
              </w:rPr>
            </w:pPr>
          </w:p>
        </w:tc>
        <w:tc>
          <w:tcPr>
            <w:tcW w:w="60" w:type="dxa"/>
            <w:vAlign w:val="bottom"/>
            <w:tcBorders>
              <w:top w:val="single" w:sz="8" w:color="0000EE"/>
            </w:tcBorders>
          </w:tcPr>
          <w:p>
            <w:pPr>
              <w:spacing w:after="0"/>
              <w:rPr>
                <w:sz w:val="21"/>
                <w:szCs w:val="21"/>
                <w:color w:val="auto"/>
              </w:rPr>
            </w:pPr>
          </w:p>
        </w:tc>
        <w:tc>
          <w:tcPr>
            <w:tcW w:w="340" w:type="dxa"/>
            <w:vAlign w:val="bottom"/>
            <w:tcBorders>
              <w:top w:val="single" w:sz="8" w:color="CCEEFF"/>
            </w:tcBorders>
          </w:tcPr>
          <w:p>
            <w:pPr>
              <w:spacing w:after="0"/>
              <w:rPr>
                <w:sz w:val="21"/>
                <w:szCs w:val="21"/>
                <w:color w:val="auto"/>
              </w:rPr>
            </w:pPr>
          </w:p>
        </w:tc>
        <w:tc>
          <w:tcPr>
            <w:tcW w:w="80" w:type="dxa"/>
            <w:vAlign w:val="bottom"/>
            <w:tcBorders>
              <w:top w:val="single" w:sz="8" w:color="CCEEFF"/>
            </w:tcBorders>
          </w:tcPr>
          <w:p>
            <w:pPr>
              <w:spacing w:after="0"/>
              <w:rPr>
                <w:sz w:val="21"/>
                <w:szCs w:val="21"/>
                <w:color w:val="auto"/>
              </w:rPr>
            </w:pPr>
          </w:p>
        </w:tc>
        <w:tc>
          <w:tcPr>
            <w:tcW w:w="80" w:type="dxa"/>
            <w:vAlign w:val="bottom"/>
            <w:tcBorders>
              <w:top w:val="single" w:sz="8" w:color="CCEEFF"/>
            </w:tcBorders>
          </w:tcPr>
          <w:p>
            <w:pPr>
              <w:spacing w:after="0"/>
              <w:rPr>
                <w:sz w:val="21"/>
                <w:szCs w:val="21"/>
                <w:color w:val="auto"/>
              </w:rPr>
            </w:pPr>
          </w:p>
        </w:tc>
        <w:tc>
          <w:tcPr>
            <w:tcW w:w="60" w:type="dxa"/>
            <w:vAlign w:val="bottom"/>
            <w:tcBorders>
              <w:top w:val="single" w:sz="8" w:color="CCEEFF"/>
            </w:tcBorders>
          </w:tcPr>
          <w:p>
            <w:pPr>
              <w:spacing w:after="0"/>
              <w:rPr>
                <w:sz w:val="21"/>
                <w:szCs w:val="21"/>
                <w:color w:val="auto"/>
              </w:rPr>
            </w:pPr>
          </w:p>
        </w:tc>
        <w:tc>
          <w:tcPr>
            <w:tcW w:w="20" w:type="dxa"/>
            <w:vAlign w:val="bottom"/>
            <w:tcBorders>
              <w:top w:val="single" w:sz="8" w:color="CCEEFF"/>
            </w:tcBorders>
          </w:tcPr>
          <w:p>
            <w:pPr>
              <w:spacing w:after="0"/>
              <w:rPr>
                <w:sz w:val="21"/>
                <w:szCs w:val="21"/>
                <w:color w:val="auto"/>
              </w:rPr>
            </w:pPr>
          </w:p>
        </w:tc>
        <w:tc>
          <w:tcPr>
            <w:tcW w:w="20" w:type="dxa"/>
            <w:vAlign w:val="bottom"/>
            <w:tcBorders>
              <w:top w:val="single" w:sz="8" w:color="CCEEFF"/>
            </w:tcBorders>
          </w:tcPr>
          <w:p>
            <w:pPr>
              <w:spacing w:after="0"/>
              <w:rPr>
                <w:sz w:val="21"/>
                <w:szCs w:val="21"/>
                <w:color w:val="auto"/>
              </w:rPr>
            </w:pPr>
          </w:p>
        </w:tc>
        <w:tc>
          <w:tcPr>
            <w:tcW w:w="260" w:type="dxa"/>
            <w:vAlign w:val="bottom"/>
            <w:tcBorders>
              <w:top w:val="single" w:sz="8" w:color="CCEEFF"/>
            </w:tcBorders>
          </w:tcPr>
          <w:p>
            <w:pPr>
              <w:spacing w:after="0"/>
              <w:rPr>
                <w:sz w:val="21"/>
                <w:szCs w:val="21"/>
                <w:color w:val="auto"/>
              </w:rPr>
            </w:pPr>
          </w:p>
        </w:tc>
        <w:tc>
          <w:tcPr>
            <w:tcW w:w="80" w:type="dxa"/>
            <w:vAlign w:val="bottom"/>
            <w:tcBorders>
              <w:top w:val="single" w:sz="8" w:color="CCEEFF"/>
            </w:tcBorders>
          </w:tcPr>
          <w:p>
            <w:pPr>
              <w:spacing w:after="0"/>
              <w:rPr>
                <w:sz w:val="21"/>
                <w:szCs w:val="21"/>
                <w:color w:val="auto"/>
              </w:rPr>
            </w:pPr>
          </w:p>
        </w:tc>
        <w:tc>
          <w:tcPr>
            <w:tcW w:w="20" w:type="dxa"/>
            <w:vAlign w:val="bottom"/>
            <w:tcBorders>
              <w:top w:val="single" w:sz="8" w:color="CCEEFF"/>
            </w:tcBorders>
          </w:tcPr>
          <w:p>
            <w:pPr>
              <w:spacing w:after="0"/>
              <w:rPr>
                <w:sz w:val="21"/>
                <w:szCs w:val="21"/>
                <w:color w:val="auto"/>
              </w:rPr>
            </w:pPr>
          </w:p>
        </w:tc>
        <w:tc>
          <w:tcPr>
            <w:tcW w:w="380" w:type="dxa"/>
            <w:vAlign w:val="bottom"/>
            <w:tcBorders>
              <w:top w:val="single" w:sz="8" w:color="CCEEFF"/>
            </w:tcBorders>
          </w:tcPr>
          <w:p>
            <w:pPr>
              <w:spacing w:after="0"/>
              <w:rPr>
                <w:sz w:val="21"/>
                <w:szCs w:val="21"/>
                <w:color w:val="auto"/>
              </w:rPr>
            </w:pPr>
          </w:p>
        </w:tc>
        <w:tc>
          <w:tcPr>
            <w:tcW w:w="40" w:type="dxa"/>
            <w:vAlign w:val="bottom"/>
            <w:tcBorders>
              <w:top w:val="single" w:sz="8" w:color="CCEEFF"/>
            </w:tcBorders>
          </w:tcPr>
          <w:p>
            <w:pPr>
              <w:spacing w:after="0"/>
              <w:rPr>
                <w:sz w:val="21"/>
                <w:szCs w:val="21"/>
                <w:color w:val="auto"/>
              </w:rPr>
            </w:pPr>
          </w:p>
        </w:tc>
        <w:tc>
          <w:tcPr>
            <w:tcW w:w="80" w:type="dxa"/>
            <w:vAlign w:val="bottom"/>
            <w:tcBorders>
              <w:top w:val="single" w:sz="8" w:color="CCEEFF"/>
            </w:tcBorders>
          </w:tcPr>
          <w:p>
            <w:pPr>
              <w:spacing w:after="0"/>
              <w:rPr>
                <w:sz w:val="21"/>
                <w:szCs w:val="21"/>
                <w:color w:val="auto"/>
              </w:rPr>
            </w:pPr>
          </w:p>
        </w:tc>
        <w:tc>
          <w:tcPr>
            <w:tcW w:w="100" w:type="dxa"/>
            <w:vAlign w:val="bottom"/>
            <w:tcBorders>
              <w:top w:val="single" w:sz="8" w:color="CCEEFF"/>
            </w:tcBorders>
          </w:tcPr>
          <w:p>
            <w:pPr>
              <w:spacing w:after="0"/>
              <w:rPr>
                <w:sz w:val="21"/>
                <w:szCs w:val="21"/>
                <w:color w:val="auto"/>
              </w:rPr>
            </w:pPr>
          </w:p>
        </w:tc>
        <w:tc>
          <w:tcPr>
            <w:tcW w:w="1580" w:type="dxa"/>
            <w:vAlign w:val="bottom"/>
            <w:tcBorders>
              <w:top w:val="single" w:sz="8" w:color="CCEEFF"/>
            </w:tcBorders>
          </w:tcPr>
          <w:p>
            <w:pPr>
              <w:spacing w:after="0"/>
              <w:rPr>
                <w:sz w:val="21"/>
                <w:szCs w:val="21"/>
                <w:color w:val="auto"/>
              </w:rPr>
            </w:pPr>
          </w:p>
        </w:tc>
        <w:tc>
          <w:tcPr>
            <w:tcW w:w="1740" w:type="dxa"/>
            <w:vAlign w:val="bottom"/>
            <w:tcBorders>
              <w:top w:val="single" w:sz="8" w:color="CCEEFF"/>
            </w:tcBorders>
          </w:tcPr>
          <w:p>
            <w:pPr>
              <w:spacing w:after="0"/>
              <w:rPr>
                <w:sz w:val="21"/>
                <w:szCs w:val="21"/>
                <w:color w:val="auto"/>
              </w:rPr>
            </w:pPr>
          </w:p>
        </w:tc>
        <w:tc>
          <w:tcPr>
            <w:tcW w:w="380" w:type="dxa"/>
            <w:vAlign w:val="bottom"/>
            <w:tcBorders>
              <w:top w:val="single" w:sz="8" w:color="CCEEFF"/>
            </w:tcBorders>
          </w:tcPr>
          <w:p>
            <w:pPr>
              <w:spacing w:after="0"/>
              <w:rPr>
                <w:sz w:val="21"/>
                <w:szCs w:val="21"/>
                <w:color w:val="auto"/>
              </w:rPr>
            </w:pPr>
          </w:p>
        </w:tc>
        <w:tc>
          <w:tcPr>
            <w:tcW w:w="120" w:type="dxa"/>
            <w:vAlign w:val="bottom"/>
            <w:tcBorders>
              <w:top w:val="single" w:sz="8" w:color="CCEEFF"/>
            </w:tcBorders>
          </w:tcPr>
          <w:p>
            <w:pPr>
              <w:spacing w:after="0"/>
              <w:rPr>
                <w:sz w:val="21"/>
                <w:szCs w:val="21"/>
                <w:color w:val="auto"/>
              </w:rPr>
            </w:pPr>
          </w:p>
        </w:tc>
      </w:tr>
      <w:tr>
        <w:trPr>
          <w:trHeight w:val="189"/>
        </w:trPr>
        <w:tc>
          <w:tcPr>
            <w:tcW w:w="100" w:type="dxa"/>
            <w:vAlign w:val="bottom"/>
            <w:shd w:val="clear" w:color="auto" w:fill="CCEEFF"/>
          </w:tcPr>
          <w:p>
            <w:pPr>
              <w:spacing w:after="0"/>
              <w:rPr>
                <w:sz w:val="16"/>
                <w:szCs w:val="16"/>
                <w:color w:val="auto"/>
              </w:rPr>
            </w:pPr>
          </w:p>
        </w:tc>
        <w:tc>
          <w:tcPr>
            <w:tcW w:w="660" w:type="dxa"/>
            <w:vAlign w:val="bottom"/>
            <w:tcBorders>
              <w:right w:val="single" w:sz="8" w:color="CCEEFF"/>
            </w:tcBorders>
            <w:shd w:val="clear" w:color="auto" w:fill="CCEEFF"/>
          </w:tcPr>
          <w:p>
            <w:pPr>
              <w:spacing w:after="0"/>
              <w:rPr>
                <w:sz w:val="16"/>
                <w:szCs w:val="16"/>
                <w:color w:val="auto"/>
              </w:rPr>
            </w:pPr>
          </w:p>
        </w:tc>
        <w:tc>
          <w:tcPr>
            <w:tcW w:w="8720" w:type="dxa"/>
            <w:vAlign w:val="bottom"/>
            <w:gridSpan w:val="28"/>
            <w:shd w:val="clear" w:color="auto" w:fill="CCEEFF"/>
          </w:tcPr>
          <w:p>
            <w:pPr>
              <w:spacing w:after="0" w:line="189" w:lineRule="exact"/>
              <w:rPr>
                <w:rFonts w:ascii="Arial" w:cs="Arial" w:eastAsia="Arial" w:hAnsi="Arial"/>
                <w:sz w:val="20"/>
                <w:szCs w:val="20"/>
                <w:color w:val="0000EE"/>
              </w:rPr>
            </w:pPr>
            <w:hyperlink w:anchor="page9">
              <w:r>
                <w:rPr>
                  <w:rFonts w:ascii="Arial" w:cs="Arial" w:eastAsia="Arial" w:hAnsi="Arial"/>
                  <w:sz w:val="20"/>
                  <w:szCs w:val="20"/>
                  <w:color w:val="0000EE"/>
                </w:rPr>
                <w:t>Consolidated Statement of Equity (unaudited) –</w:t>
              </w:r>
            </w:hyperlink>
          </w:p>
        </w:tc>
        <w:tc>
          <w:tcPr>
            <w:tcW w:w="3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r>
      <w:tr>
        <w:trPr>
          <w:trHeight w:val="230"/>
        </w:trPr>
        <w:tc>
          <w:tcPr>
            <w:tcW w:w="100" w:type="dxa"/>
            <w:vAlign w:val="bottom"/>
            <w:tcBorders>
              <w:top w:val="single" w:sz="8" w:color="CCEEFF"/>
            </w:tcBorders>
            <w:shd w:val="clear" w:color="auto" w:fill="CCEEFF"/>
          </w:tcPr>
          <w:p>
            <w:pPr>
              <w:spacing w:after="0"/>
              <w:rPr>
                <w:sz w:val="20"/>
                <w:szCs w:val="20"/>
                <w:color w:val="auto"/>
              </w:rPr>
            </w:pPr>
          </w:p>
        </w:tc>
        <w:tc>
          <w:tcPr>
            <w:tcW w:w="660" w:type="dxa"/>
            <w:vAlign w:val="bottom"/>
            <w:tcBorders>
              <w:top w:val="single" w:sz="8" w:color="CCEEFF"/>
              <w:right w:val="single" w:sz="8" w:color="CCEEFF"/>
            </w:tcBorders>
            <w:shd w:val="clear" w:color="auto" w:fill="CCEEFF"/>
          </w:tcPr>
          <w:p>
            <w:pPr>
              <w:spacing w:after="0"/>
              <w:rPr>
                <w:sz w:val="20"/>
                <w:szCs w:val="20"/>
                <w:color w:val="auto"/>
              </w:rPr>
            </w:pPr>
          </w:p>
        </w:tc>
        <w:tc>
          <w:tcPr>
            <w:tcW w:w="180" w:type="dxa"/>
            <w:vAlign w:val="bottom"/>
            <w:tcBorders>
              <w:top w:val="single" w:sz="8" w:color="0000EE"/>
            </w:tcBorders>
            <w:shd w:val="clear" w:color="auto" w:fill="CCEEFF"/>
          </w:tcPr>
          <w:p>
            <w:pPr>
              <w:spacing w:after="0"/>
              <w:rPr>
                <w:sz w:val="20"/>
                <w:szCs w:val="20"/>
                <w:color w:val="auto"/>
              </w:rPr>
            </w:pPr>
          </w:p>
        </w:tc>
        <w:tc>
          <w:tcPr>
            <w:tcW w:w="140" w:type="dxa"/>
            <w:vAlign w:val="bottom"/>
            <w:tcBorders>
              <w:top w:val="single" w:sz="8" w:color="0000EE"/>
            </w:tcBorders>
            <w:shd w:val="clear" w:color="auto" w:fill="CCEEFF"/>
          </w:tcPr>
          <w:p>
            <w:pPr>
              <w:spacing w:after="0"/>
              <w:rPr>
                <w:sz w:val="20"/>
                <w:szCs w:val="20"/>
                <w:color w:val="auto"/>
              </w:rPr>
            </w:pPr>
          </w:p>
        </w:tc>
        <w:tc>
          <w:tcPr>
            <w:tcW w:w="3460" w:type="dxa"/>
            <w:vAlign w:val="bottom"/>
            <w:tcBorders>
              <w:top w:val="single" w:sz="8" w:color="0000EE"/>
            </w:tcBorders>
            <w:gridSpan w:val="10"/>
            <w:shd w:val="clear" w:color="auto" w:fill="CCEEFF"/>
          </w:tcPr>
          <w:p>
            <w:pPr>
              <w:spacing w:after="0" w:line="209" w:lineRule="exact"/>
              <w:rPr>
                <w:rFonts w:ascii="Arial" w:cs="Arial" w:eastAsia="Arial" w:hAnsi="Arial"/>
                <w:sz w:val="20"/>
                <w:szCs w:val="20"/>
                <w:color w:val="0000EE"/>
                <w:w w:val="94"/>
              </w:rPr>
            </w:pPr>
            <w:hyperlink w:anchor="page9">
              <w:r>
                <w:rPr>
                  <w:rFonts w:ascii="Arial" w:cs="Arial" w:eastAsia="Arial" w:hAnsi="Arial"/>
                  <w:sz w:val="20"/>
                  <w:szCs w:val="20"/>
                  <w:color w:val="0000EE"/>
                  <w:w w:val="94"/>
                </w:rPr>
                <w:t>Nine Months Ended September 30, 2018</w:t>
              </w:r>
            </w:hyperlink>
          </w:p>
        </w:tc>
        <w:tc>
          <w:tcPr>
            <w:tcW w:w="4940" w:type="dxa"/>
            <w:vAlign w:val="bottom"/>
            <w:tcBorders>
              <w:top w:val="single" w:sz="8" w:color="CCEEFF"/>
            </w:tcBorders>
            <w:gridSpan w:val="16"/>
            <w:shd w:val="clear" w:color="auto" w:fill="CCEEFF"/>
          </w:tcPr>
          <w:p>
            <w:pPr>
              <w:spacing w:after="0"/>
              <w:rPr>
                <w:sz w:val="20"/>
                <w:szCs w:val="20"/>
                <w:color w:val="auto"/>
              </w:rPr>
            </w:pPr>
          </w:p>
        </w:tc>
        <w:tc>
          <w:tcPr>
            <w:tcW w:w="500" w:type="dxa"/>
            <w:vAlign w:val="bottom"/>
            <w:tcBorders>
              <w:top w:val="single" w:sz="8" w:color="CCEEFF"/>
            </w:tcBorders>
            <w:gridSpan w:val="2"/>
            <w:shd w:val="clear" w:color="auto" w:fill="CCEEFF"/>
          </w:tcPr>
          <w:p>
            <w:pPr>
              <w:jc w:val="right"/>
              <w:ind w:right="40"/>
              <w:spacing w:after="0" w:line="209" w:lineRule="exact"/>
              <w:rPr>
                <w:sz w:val="20"/>
                <w:szCs w:val="20"/>
                <w:color w:val="auto"/>
              </w:rPr>
            </w:pPr>
            <w:r>
              <w:rPr>
                <w:rFonts w:ascii="Arial" w:cs="Arial" w:eastAsia="Arial" w:hAnsi="Arial"/>
                <w:sz w:val="20"/>
                <w:szCs w:val="20"/>
                <w:color w:val="auto"/>
              </w:rPr>
              <w:t>7</w:t>
            </w:r>
          </w:p>
        </w:tc>
      </w:tr>
      <w:tr>
        <w:trPr>
          <w:trHeight w:val="243"/>
        </w:trPr>
        <w:tc>
          <w:tcPr>
            <w:tcW w:w="100" w:type="dxa"/>
            <w:vAlign w:val="bottom"/>
            <w:tcBorders>
              <w:top w:val="single" w:sz="8" w:color="CCEEFF"/>
            </w:tcBorders>
          </w:tcPr>
          <w:p>
            <w:pPr>
              <w:spacing w:after="0"/>
              <w:rPr>
                <w:sz w:val="21"/>
                <w:szCs w:val="21"/>
                <w:color w:val="auto"/>
              </w:rPr>
            </w:pPr>
          </w:p>
        </w:tc>
        <w:tc>
          <w:tcPr>
            <w:tcW w:w="660" w:type="dxa"/>
            <w:vAlign w:val="bottom"/>
            <w:tcBorders>
              <w:top w:val="single" w:sz="8" w:color="CCEEFF"/>
            </w:tcBorders>
          </w:tcPr>
          <w:p>
            <w:pPr>
              <w:spacing w:after="0"/>
              <w:rPr>
                <w:sz w:val="21"/>
                <w:szCs w:val="21"/>
                <w:color w:val="auto"/>
              </w:rPr>
            </w:pPr>
          </w:p>
        </w:tc>
        <w:tc>
          <w:tcPr>
            <w:tcW w:w="180" w:type="dxa"/>
            <w:vAlign w:val="bottom"/>
            <w:tcBorders>
              <w:top w:val="single" w:sz="8" w:color="CCEEFF"/>
            </w:tcBorders>
          </w:tcPr>
          <w:p>
            <w:pPr>
              <w:spacing w:after="0"/>
              <w:rPr>
                <w:sz w:val="21"/>
                <w:szCs w:val="21"/>
                <w:color w:val="auto"/>
              </w:rPr>
            </w:pPr>
          </w:p>
        </w:tc>
        <w:tc>
          <w:tcPr>
            <w:tcW w:w="140" w:type="dxa"/>
            <w:vAlign w:val="bottom"/>
            <w:tcBorders>
              <w:top w:val="single" w:sz="8" w:color="CCEEFF"/>
            </w:tcBorders>
          </w:tcPr>
          <w:p>
            <w:pPr>
              <w:spacing w:after="0"/>
              <w:rPr>
                <w:sz w:val="21"/>
                <w:szCs w:val="21"/>
                <w:color w:val="auto"/>
              </w:rPr>
            </w:pPr>
          </w:p>
        </w:tc>
        <w:tc>
          <w:tcPr>
            <w:tcW w:w="340" w:type="dxa"/>
            <w:vAlign w:val="bottom"/>
            <w:tcBorders>
              <w:top w:val="single" w:sz="8" w:color="0000EE"/>
            </w:tcBorders>
          </w:tcPr>
          <w:p>
            <w:pPr>
              <w:spacing w:after="0"/>
              <w:rPr>
                <w:sz w:val="21"/>
                <w:szCs w:val="21"/>
                <w:color w:val="auto"/>
              </w:rPr>
            </w:pPr>
          </w:p>
        </w:tc>
        <w:tc>
          <w:tcPr>
            <w:tcW w:w="480" w:type="dxa"/>
            <w:vAlign w:val="bottom"/>
            <w:tcBorders>
              <w:top w:val="single" w:sz="8" w:color="0000EE"/>
            </w:tcBorders>
          </w:tcPr>
          <w:p>
            <w:pPr>
              <w:spacing w:after="0"/>
              <w:rPr>
                <w:sz w:val="21"/>
                <w:szCs w:val="21"/>
                <w:color w:val="auto"/>
              </w:rPr>
            </w:pPr>
          </w:p>
        </w:tc>
        <w:tc>
          <w:tcPr>
            <w:tcW w:w="340" w:type="dxa"/>
            <w:vAlign w:val="bottom"/>
            <w:tcBorders>
              <w:top w:val="single" w:sz="8" w:color="0000EE"/>
            </w:tcBorders>
          </w:tcPr>
          <w:p>
            <w:pPr>
              <w:spacing w:after="0"/>
              <w:rPr>
                <w:sz w:val="21"/>
                <w:szCs w:val="21"/>
                <w:color w:val="auto"/>
              </w:rPr>
            </w:pPr>
          </w:p>
        </w:tc>
        <w:tc>
          <w:tcPr>
            <w:tcW w:w="240" w:type="dxa"/>
            <w:vAlign w:val="bottom"/>
            <w:tcBorders>
              <w:top w:val="single" w:sz="8" w:color="0000EE"/>
            </w:tcBorders>
          </w:tcPr>
          <w:p>
            <w:pPr>
              <w:spacing w:after="0"/>
              <w:rPr>
                <w:sz w:val="21"/>
                <w:szCs w:val="21"/>
                <w:color w:val="auto"/>
              </w:rPr>
            </w:pPr>
          </w:p>
        </w:tc>
        <w:tc>
          <w:tcPr>
            <w:tcW w:w="240" w:type="dxa"/>
            <w:vAlign w:val="bottom"/>
            <w:tcBorders>
              <w:top w:val="single" w:sz="8" w:color="0000EE"/>
            </w:tcBorders>
          </w:tcPr>
          <w:p>
            <w:pPr>
              <w:spacing w:after="0"/>
              <w:rPr>
                <w:sz w:val="21"/>
                <w:szCs w:val="21"/>
                <w:color w:val="auto"/>
              </w:rPr>
            </w:pPr>
          </w:p>
        </w:tc>
        <w:tc>
          <w:tcPr>
            <w:tcW w:w="920" w:type="dxa"/>
            <w:vAlign w:val="bottom"/>
            <w:tcBorders>
              <w:top w:val="single" w:sz="8" w:color="0000EE"/>
            </w:tcBorders>
          </w:tcPr>
          <w:p>
            <w:pPr>
              <w:spacing w:after="0"/>
              <w:rPr>
                <w:sz w:val="21"/>
                <w:szCs w:val="21"/>
                <w:color w:val="auto"/>
              </w:rPr>
            </w:pPr>
          </w:p>
        </w:tc>
        <w:tc>
          <w:tcPr>
            <w:tcW w:w="160" w:type="dxa"/>
            <w:vAlign w:val="bottom"/>
            <w:tcBorders>
              <w:top w:val="single" w:sz="8" w:color="0000EE"/>
            </w:tcBorders>
          </w:tcPr>
          <w:p>
            <w:pPr>
              <w:spacing w:after="0"/>
              <w:rPr>
                <w:sz w:val="21"/>
                <w:szCs w:val="21"/>
                <w:color w:val="auto"/>
              </w:rPr>
            </w:pPr>
          </w:p>
        </w:tc>
        <w:tc>
          <w:tcPr>
            <w:tcW w:w="120" w:type="dxa"/>
            <w:vAlign w:val="bottom"/>
            <w:tcBorders>
              <w:top w:val="single" w:sz="8" w:color="0000EE"/>
            </w:tcBorders>
          </w:tcPr>
          <w:p>
            <w:pPr>
              <w:spacing w:after="0"/>
              <w:rPr>
                <w:sz w:val="21"/>
                <w:szCs w:val="21"/>
                <w:color w:val="auto"/>
              </w:rPr>
            </w:pPr>
          </w:p>
        </w:tc>
        <w:tc>
          <w:tcPr>
            <w:tcW w:w="440" w:type="dxa"/>
            <w:vAlign w:val="bottom"/>
            <w:tcBorders>
              <w:top w:val="single" w:sz="8" w:color="0000EE"/>
            </w:tcBorders>
          </w:tcPr>
          <w:p>
            <w:pPr>
              <w:spacing w:after="0"/>
              <w:rPr>
                <w:sz w:val="21"/>
                <w:szCs w:val="21"/>
                <w:color w:val="auto"/>
              </w:rPr>
            </w:pPr>
          </w:p>
        </w:tc>
        <w:tc>
          <w:tcPr>
            <w:tcW w:w="180" w:type="dxa"/>
            <w:vAlign w:val="bottom"/>
            <w:tcBorders>
              <w:top w:val="single" w:sz="8" w:color="CCEEFF"/>
            </w:tcBorders>
          </w:tcPr>
          <w:p>
            <w:pPr>
              <w:spacing w:after="0"/>
              <w:rPr>
                <w:sz w:val="21"/>
                <w:szCs w:val="21"/>
                <w:color w:val="auto"/>
              </w:rPr>
            </w:pPr>
          </w:p>
        </w:tc>
        <w:tc>
          <w:tcPr>
            <w:tcW w:w="60" w:type="dxa"/>
            <w:vAlign w:val="bottom"/>
            <w:tcBorders>
              <w:top w:val="single" w:sz="8" w:color="CCEEFF"/>
            </w:tcBorders>
          </w:tcPr>
          <w:p>
            <w:pPr>
              <w:spacing w:after="0"/>
              <w:rPr>
                <w:sz w:val="21"/>
                <w:szCs w:val="21"/>
                <w:color w:val="auto"/>
              </w:rPr>
            </w:pPr>
          </w:p>
        </w:tc>
        <w:tc>
          <w:tcPr>
            <w:tcW w:w="340" w:type="dxa"/>
            <w:vAlign w:val="bottom"/>
            <w:tcBorders>
              <w:top w:val="single" w:sz="8" w:color="CCEEFF"/>
            </w:tcBorders>
          </w:tcPr>
          <w:p>
            <w:pPr>
              <w:spacing w:after="0"/>
              <w:rPr>
                <w:sz w:val="21"/>
                <w:szCs w:val="21"/>
                <w:color w:val="auto"/>
              </w:rPr>
            </w:pPr>
          </w:p>
        </w:tc>
        <w:tc>
          <w:tcPr>
            <w:tcW w:w="80" w:type="dxa"/>
            <w:vAlign w:val="bottom"/>
            <w:tcBorders>
              <w:top w:val="single" w:sz="8" w:color="CCEEFF"/>
            </w:tcBorders>
          </w:tcPr>
          <w:p>
            <w:pPr>
              <w:spacing w:after="0"/>
              <w:rPr>
                <w:sz w:val="21"/>
                <w:szCs w:val="21"/>
                <w:color w:val="auto"/>
              </w:rPr>
            </w:pPr>
          </w:p>
        </w:tc>
        <w:tc>
          <w:tcPr>
            <w:tcW w:w="80" w:type="dxa"/>
            <w:vAlign w:val="bottom"/>
            <w:tcBorders>
              <w:top w:val="single" w:sz="8" w:color="CCEEFF"/>
            </w:tcBorders>
          </w:tcPr>
          <w:p>
            <w:pPr>
              <w:spacing w:after="0"/>
              <w:rPr>
                <w:sz w:val="21"/>
                <w:szCs w:val="21"/>
                <w:color w:val="auto"/>
              </w:rPr>
            </w:pPr>
          </w:p>
        </w:tc>
        <w:tc>
          <w:tcPr>
            <w:tcW w:w="60" w:type="dxa"/>
            <w:vAlign w:val="bottom"/>
            <w:tcBorders>
              <w:top w:val="single" w:sz="8" w:color="CCEEFF"/>
            </w:tcBorders>
          </w:tcPr>
          <w:p>
            <w:pPr>
              <w:spacing w:after="0"/>
              <w:rPr>
                <w:sz w:val="21"/>
                <w:szCs w:val="21"/>
                <w:color w:val="auto"/>
              </w:rPr>
            </w:pPr>
          </w:p>
        </w:tc>
        <w:tc>
          <w:tcPr>
            <w:tcW w:w="20" w:type="dxa"/>
            <w:vAlign w:val="bottom"/>
            <w:tcBorders>
              <w:top w:val="single" w:sz="8" w:color="CCEEFF"/>
            </w:tcBorders>
          </w:tcPr>
          <w:p>
            <w:pPr>
              <w:spacing w:after="0"/>
              <w:rPr>
                <w:sz w:val="21"/>
                <w:szCs w:val="21"/>
                <w:color w:val="auto"/>
              </w:rPr>
            </w:pPr>
          </w:p>
        </w:tc>
        <w:tc>
          <w:tcPr>
            <w:tcW w:w="20" w:type="dxa"/>
            <w:vAlign w:val="bottom"/>
            <w:tcBorders>
              <w:top w:val="single" w:sz="8" w:color="CCEEFF"/>
            </w:tcBorders>
          </w:tcPr>
          <w:p>
            <w:pPr>
              <w:spacing w:after="0"/>
              <w:rPr>
                <w:sz w:val="21"/>
                <w:szCs w:val="21"/>
                <w:color w:val="auto"/>
              </w:rPr>
            </w:pPr>
          </w:p>
        </w:tc>
        <w:tc>
          <w:tcPr>
            <w:tcW w:w="260" w:type="dxa"/>
            <w:vAlign w:val="bottom"/>
            <w:tcBorders>
              <w:top w:val="single" w:sz="8" w:color="CCEEFF"/>
            </w:tcBorders>
          </w:tcPr>
          <w:p>
            <w:pPr>
              <w:spacing w:after="0"/>
              <w:rPr>
                <w:sz w:val="21"/>
                <w:szCs w:val="21"/>
                <w:color w:val="auto"/>
              </w:rPr>
            </w:pPr>
          </w:p>
        </w:tc>
        <w:tc>
          <w:tcPr>
            <w:tcW w:w="80" w:type="dxa"/>
            <w:vAlign w:val="bottom"/>
            <w:tcBorders>
              <w:top w:val="single" w:sz="8" w:color="CCEEFF"/>
            </w:tcBorders>
          </w:tcPr>
          <w:p>
            <w:pPr>
              <w:spacing w:after="0"/>
              <w:rPr>
                <w:sz w:val="21"/>
                <w:szCs w:val="21"/>
                <w:color w:val="auto"/>
              </w:rPr>
            </w:pPr>
          </w:p>
        </w:tc>
        <w:tc>
          <w:tcPr>
            <w:tcW w:w="20" w:type="dxa"/>
            <w:vAlign w:val="bottom"/>
            <w:tcBorders>
              <w:top w:val="single" w:sz="8" w:color="CCEEFF"/>
            </w:tcBorders>
          </w:tcPr>
          <w:p>
            <w:pPr>
              <w:spacing w:after="0"/>
              <w:rPr>
                <w:sz w:val="21"/>
                <w:szCs w:val="21"/>
                <w:color w:val="auto"/>
              </w:rPr>
            </w:pPr>
          </w:p>
        </w:tc>
        <w:tc>
          <w:tcPr>
            <w:tcW w:w="380" w:type="dxa"/>
            <w:vAlign w:val="bottom"/>
            <w:tcBorders>
              <w:top w:val="single" w:sz="8" w:color="CCEEFF"/>
            </w:tcBorders>
          </w:tcPr>
          <w:p>
            <w:pPr>
              <w:spacing w:after="0"/>
              <w:rPr>
                <w:sz w:val="21"/>
                <w:szCs w:val="21"/>
                <w:color w:val="auto"/>
              </w:rPr>
            </w:pPr>
          </w:p>
        </w:tc>
        <w:tc>
          <w:tcPr>
            <w:tcW w:w="40" w:type="dxa"/>
            <w:vAlign w:val="bottom"/>
            <w:tcBorders>
              <w:top w:val="single" w:sz="8" w:color="CCEEFF"/>
            </w:tcBorders>
          </w:tcPr>
          <w:p>
            <w:pPr>
              <w:spacing w:after="0"/>
              <w:rPr>
                <w:sz w:val="21"/>
                <w:szCs w:val="21"/>
                <w:color w:val="auto"/>
              </w:rPr>
            </w:pPr>
          </w:p>
        </w:tc>
        <w:tc>
          <w:tcPr>
            <w:tcW w:w="80" w:type="dxa"/>
            <w:vAlign w:val="bottom"/>
            <w:tcBorders>
              <w:top w:val="single" w:sz="8" w:color="CCEEFF"/>
            </w:tcBorders>
          </w:tcPr>
          <w:p>
            <w:pPr>
              <w:spacing w:after="0"/>
              <w:rPr>
                <w:sz w:val="21"/>
                <w:szCs w:val="21"/>
                <w:color w:val="auto"/>
              </w:rPr>
            </w:pPr>
          </w:p>
        </w:tc>
        <w:tc>
          <w:tcPr>
            <w:tcW w:w="100" w:type="dxa"/>
            <w:vAlign w:val="bottom"/>
            <w:tcBorders>
              <w:top w:val="single" w:sz="8" w:color="CCEEFF"/>
            </w:tcBorders>
          </w:tcPr>
          <w:p>
            <w:pPr>
              <w:spacing w:after="0"/>
              <w:rPr>
                <w:sz w:val="21"/>
                <w:szCs w:val="21"/>
                <w:color w:val="auto"/>
              </w:rPr>
            </w:pPr>
          </w:p>
        </w:tc>
        <w:tc>
          <w:tcPr>
            <w:tcW w:w="1580" w:type="dxa"/>
            <w:vAlign w:val="bottom"/>
            <w:tcBorders>
              <w:top w:val="single" w:sz="8" w:color="CCEEFF"/>
            </w:tcBorders>
          </w:tcPr>
          <w:p>
            <w:pPr>
              <w:spacing w:after="0"/>
              <w:rPr>
                <w:sz w:val="21"/>
                <w:szCs w:val="21"/>
                <w:color w:val="auto"/>
              </w:rPr>
            </w:pPr>
          </w:p>
        </w:tc>
        <w:tc>
          <w:tcPr>
            <w:tcW w:w="1740" w:type="dxa"/>
            <w:vAlign w:val="bottom"/>
            <w:tcBorders>
              <w:top w:val="single" w:sz="8" w:color="CCEEFF"/>
            </w:tcBorders>
          </w:tcPr>
          <w:p>
            <w:pPr>
              <w:spacing w:after="0"/>
              <w:rPr>
                <w:sz w:val="21"/>
                <w:szCs w:val="21"/>
                <w:color w:val="auto"/>
              </w:rPr>
            </w:pPr>
          </w:p>
        </w:tc>
        <w:tc>
          <w:tcPr>
            <w:tcW w:w="380" w:type="dxa"/>
            <w:vAlign w:val="bottom"/>
            <w:tcBorders>
              <w:top w:val="single" w:sz="8" w:color="CCEEFF"/>
            </w:tcBorders>
          </w:tcPr>
          <w:p>
            <w:pPr>
              <w:spacing w:after="0"/>
              <w:rPr>
                <w:sz w:val="21"/>
                <w:szCs w:val="21"/>
                <w:color w:val="auto"/>
              </w:rPr>
            </w:pPr>
          </w:p>
        </w:tc>
        <w:tc>
          <w:tcPr>
            <w:tcW w:w="120" w:type="dxa"/>
            <w:vAlign w:val="bottom"/>
            <w:tcBorders>
              <w:top w:val="single" w:sz="8" w:color="CCEEFF"/>
            </w:tcBorders>
          </w:tcPr>
          <w:p>
            <w:pPr>
              <w:spacing w:after="0"/>
              <w:rPr>
                <w:sz w:val="21"/>
                <w:szCs w:val="21"/>
                <w:color w:val="auto"/>
              </w:rPr>
            </w:pPr>
          </w:p>
        </w:tc>
      </w:tr>
      <w:tr>
        <w:trPr>
          <w:trHeight w:val="189"/>
        </w:trPr>
        <w:tc>
          <w:tcPr>
            <w:tcW w:w="100" w:type="dxa"/>
            <w:vAlign w:val="bottom"/>
            <w:shd w:val="clear" w:color="auto" w:fill="CCEEFF"/>
          </w:tcPr>
          <w:p>
            <w:pPr>
              <w:spacing w:after="0"/>
              <w:rPr>
                <w:sz w:val="16"/>
                <w:szCs w:val="16"/>
                <w:color w:val="auto"/>
              </w:rPr>
            </w:pPr>
          </w:p>
        </w:tc>
        <w:tc>
          <w:tcPr>
            <w:tcW w:w="660" w:type="dxa"/>
            <w:vAlign w:val="bottom"/>
            <w:tcBorders>
              <w:right w:val="single" w:sz="8" w:color="CCEEFF"/>
            </w:tcBorders>
            <w:shd w:val="clear" w:color="auto" w:fill="CCEEFF"/>
          </w:tcPr>
          <w:p>
            <w:pPr>
              <w:spacing w:after="0"/>
              <w:rPr>
                <w:sz w:val="16"/>
                <w:szCs w:val="16"/>
                <w:color w:val="auto"/>
              </w:rPr>
            </w:pPr>
          </w:p>
        </w:tc>
        <w:tc>
          <w:tcPr>
            <w:tcW w:w="8720" w:type="dxa"/>
            <w:vAlign w:val="bottom"/>
            <w:gridSpan w:val="28"/>
            <w:shd w:val="clear" w:color="auto" w:fill="CCEEFF"/>
          </w:tcPr>
          <w:p>
            <w:pPr>
              <w:spacing w:after="0" w:line="189" w:lineRule="exact"/>
              <w:rPr>
                <w:rFonts w:ascii="Arial" w:cs="Arial" w:eastAsia="Arial" w:hAnsi="Arial"/>
                <w:sz w:val="20"/>
                <w:szCs w:val="20"/>
                <w:color w:val="0000EE"/>
              </w:rPr>
            </w:pPr>
            <w:hyperlink w:anchor="page10">
              <w:r>
                <w:rPr>
                  <w:rFonts w:ascii="Arial" w:cs="Arial" w:eastAsia="Arial" w:hAnsi="Arial"/>
                  <w:sz w:val="20"/>
                  <w:szCs w:val="20"/>
                  <w:color w:val="0000EE"/>
                </w:rPr>
                <w:t>Consolidated Statements of Cash Flow (unaudited) –</w:t>
              </w:r>
            </w:hyperlink>
          </w:p>
        </w:tc>
        <w:tc>
          <w:tcPr>
            <w:tcW w:w="3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r>
      <w:tr>
        <w:trPr>
          <w:trHeight w:val="20"/>
        </w:trPr>
        <w:tc>
          <w:tcPr>
            <w:tcW w:w="100" w:type="dxa"/>
            <w:vAlign w:val="bottom"/>
            <w:shd w:val="clear" w:color="auto" w:fill="CCEEFF"/>
          </w:tcPr>
          <w:p>
            <w:pPr>
              <w:spacing w:after="0" w:line="20" w:lineRule="exact"/>
              <w:rPr>
                <w:sz w:val="1"/>
                <w:szCs w:val="1"/>
                <w:color w:val="auto"/>
              </w:rPr>
            </w:pPr>
          </w:p>
        </w:tc>
        <w:tc>
          <w:tcPr>
            <w:tcW w:w="660" w:type="dxa"/>
            <w:vAlign w:val="bottom"/>
            <w:tcBorders>
              <w:right w:val="single" w:sz="8" w:color="CCEEFF"/>
            </w:tcBorders>
            <w:shd w:val="clear" w:color="auto" w:fill="CCEEFF"/>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1020" w:type="dxa"/>
            <w:vAlign w:val="bottom"/>
            <w:tcBorders>
              <w:right w:val="single" w:sz="8" w:color="0000EE"/>
            </w:tcBorders>
            <w:gridSpan w:val="4"/>
            <w:shd w:val="clear" w:color="auto" w:fill="0000EE"/>
          </w:tcPr>
          <w:p>
            <w:pPr>
              <w:spacing w:after="0" w:line="20" w:lineRule="exact"/>
              <w:rPr>
                <w:sz w:val="1"/>
                <w:szCs w:val="1"/>
                <w:color w:val="auto"/>
              </w:rPr>
            </w:pPr>
          </w:p>
        </w:tc>
        <w:tc>
          <w:tcPr>
            <w:tcW w:w="160" w:type="dxa"/>
            <w:vAlign w:val="bottom"/>
            <w:gridSpan w:val="2"/>
            <w:shd w:val="clear" w:color="auto" w:fill="CCEEFF"/>
          </w:tcPr>
          <w:p>
            <w:pPr>
              <w:spacing w:after="0" w:line="20" w:lineRule="exact"/>
              <w:rPr>
                <w:sz w:val="1"/>
                <w:szCs w:val="1"/>
                <w:color w:val="auto"/>
              </w:rPr>
            </w:pPr>
          </w:p>
        </w:tc>
        <w:tc>
          <w:tcPr>
            <w:tcW w:w="80" w:type="dxa"/>
            <w:vAlign w:val="bottom"/>
            <w:gridSpan w:val="2"/>
            <w:shd w:val="clear" w:color="auto" w:fill="CCEEFF"/>
          </w:tcPr>
          <w:p>
            <w:pPr>
              <w:spacing w:after="0" w:line="20" w:lineRule="exact"/>
              <w:rPr>
                <w:sz w:val="1"/>
                <w:szCs w:val="1"/>
                <w:color w:val="auto"/>
              </w:rPr>
            </w:pPr>
          </w:p>
        </w:tc>
        <w:tc>
          <w:tcPr>
            <w:tcW w:w="360" w:type="dxa"/>
            <w:vAlign w:val="bottom"/>
            <w:gridSpan w:val="3"/>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500" w:type="dxa"/>
            <w:vAlign w:val="bottom"/>
            <w:gridSpan w:val="3"/>
            <w:shd w:val="clear" w:color="auto" w:fill="CCEEFF"/>
          </w:tcPr>
          <w:p>
            <w:pPr>
              <w:spacing w:after="0" w:line="20" w:lineRule="exact"/>
              <w:rPr>
                <w:sz w:val="1"/>
                <w:szCs w:val="1"/>
                <w:color w:val="auto"/>
              </w:rPr>
            </w:pPr>
          </w:p>
        </w:tc>
        <w:tc>
          <w:tcPr>
            <w:tcW w:w="3420" w:type="dxa"/>
            <w:vAlign w:val="bottom"/>
            <w:gridSpan w:val="3"/>
            <w:shd w:val="clear" w:color="auto" w:fill="CCEEFF"/>
          </w:tcPr>
          <w:p>
            <w:pPr>
              <w:spacing w:after="0" w:line="20" w:lineRule="exact"/>
              <w:rPr>
                <w:sz w:val="1"/>
                <w:szCs w:val="1"/>
                <w:color w:val="auto"/>
              </w:rPr>
            </w:pPr>
          </w:p>
        </w:tc>
        <w:tc>
          <w:tcPr>
            <w:tcW w:w="500" w:type="dxa"/>
            <w:vAlign w:val="bottom"/>
            <w:gridSpan w:val="2"/>
            <w:shd w:val="clear" w:color="auto" w:fill="CCEEFF"/>
          </w:tcPr>
          <w:p>
            <w:pPr>
              <w:spacing w:after="0" w:line="20" w:lineRule="exact"/>
              <w:rPr>
                <w:sz w:val="1"/>
                <w:szCs w:val="1"/>
                <w:color w:val="auto"/>
              </w:rPr>
            </w:pPr>
          </w:p>
        </w:tc>
      </w:tr>
      <w:tr>
        <w:trPr>
          <w:trHeight w:val="230"/>
        </w:trPr>
        <w:tc>
          <w:tcPr>
            <w:tcW w:w="100" w:type="dxa"/>
            <w:vAlign w:val="bottom"/>
            <w:shd w:val="clear" w:color="auto" w:fill="CCEEFF"/>
          </w:tcPr>
          <w:p>
            <w:pPr>
              <w:spacing w:after="0"/>
              <w:rPr>
                <w:sz w:val="20"/>
                <w:szCs w:val="20"/>
                <w:color w:val="auto"/>
              </w:rPr>
            </w:pPr>
          </w:p>
        </w:tc>
        <w:tc>
          <w:tcPr>
            <w:tcW w:w="660" w:type="dxa"/>
            <w:vAlign w:val="bottom"/>
            <w:tcBorders>
              <w:right w:val="single" w:sz="8" w:color="CCEEFF"/>
            </w:tcBorders>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400" w:type="dxa"/>
            <w:vAlign w:val="bottom"/>
            <w:gridSpan w:val="26"/>
            <w:shd w:val="clear" w:color="auto" w:fill="CCEEFF"/>
          </w:tcPr>
          <w:p>
            <w:pPr>
              <w:spacing w:after="0" w:line="209" w:lineRule="exact"/>
              <w:rPr>
                <w:rFonts w:ascii="Arial" w:cs="Arial" w:eastAsia="Arial" w:hAnsi="Arial"/>
                <w:sz w:val="20"/>
                <w:szCs w:val="20"/>
                <w:color w:val="0000EE"/>
              </w:rPr>
            </w:pPr>
            <w:hyperlink w:anchor="page10">
              <w:r>
                <w:rPr>
                  <w:rFonts w:ascii="Arial" w:cs="Arial" w:eastAsia="Arial" w:hAnsi="Arial"/>
                  <w:sz w:val="20"/>
                  <w:szCs w:val="20"/>
                  <w:color w:val="0000EE"/>
                </w:rPr>
                <w:t>Nine Months Ended September 30, 2018 and 2017</w:t>
              </w:r>
            </w:hyperlink>
          </w:p>
        </w:tc>
        <w:tc>
          <w:tcPr>
            <w:tcW w:w="500" w:type="dxa"/>
            <w:vAlign w:val="bottom"/>
            <w:gridSpan w:val="2"/>
            <w:shd w:val="clear" w:color="auto" w:fill="CCEEFF"/>
          </w:tcPr>
          <w:p>
            <w:pPr>
              <w:jc w:val="right"/>
              <w:ind w:right="40"/>
              <w:spacing w:after="0" w:line="209" w:lineRule="exact"/>
              <w:rPr>
                <w:sz w:val="20"/>
                <w:szCs w:val="20"/>
                <w:color w:val="auto"/>
              </w:rPr>
            </w:pPr>
            <w:r>
              <w:rPr>
                <w:rFonts w:ascii="Arial" w:cs="Arial" w:eastAsia="Arial" w:hAnsi="Arial"/>
                <w:sz w:val="20"/>
                <w:szCs w:val="20"/>
                <w:color w:val="auto"/>
              </w:rPr>
              <w:t>8</w:t>
            </w:r>
          </w:p>
        </w:tc>
      </w:tr>
      <w:tr>
        <w:trPr>
          <w:trHeight w:val="243"/>
        </w:trPr>
        <w:tc>
          <w:tcPr>
            <w:tcW w:w="100" w:type="dxa"/>
            <w:vAlign w:val="bottom"/>
            <w:tcBorders>
              <w:top w:val="single" w:sz="8" w:color="CCEEFF"/>
            </w:tcBorders>
          </w:tcPr>
          <w:p>
            <w:pPr>
              <w:spacing w:after="0"/>
              <w:rPr>
                <w:sz w:val="21"/>
                <w:szCs w:val="21"/>
                <w:color w:val="auto"/>
              </w:rPr>
            </w:pPr>
          </w:p>
        </w:tc>
        <w:tc>
          <w:tcPr>
            <w:tcW w:w="660" w:type="dxa"/>
            <w:vAlign w:val="bottom"/>
            <w:tcBorders>
              <w:top w:val="single" w:sz="8" w:color="CCEEFF"/>
            </w:tcBorders>
          </w:tcPr>
          <w:p>
            <w:pPr>
              <w:spacing w:after="0"/>
              <w:rPr>
                <w:sz w:val="21"/>
                <w:szCs w:val="21"/>
                <w:color w:val="auto"/>
              </w:rPr>
            </w:pPr>
          </w:p>
        </w:tc>
        <w:tc>
          <w:tcPr>
            <w:tcW w:w="180" w:type="dxa"/>
            <w:vAlign w:val="bottom"/>
            <w:tcBorders>
              <w:top w:val="single" w:sz="8" w:color="CCEEFF"/>
            </w:tcBorders>
          </w:tcPr>
          <w:p>
            <w:pPr>
              <w:spacing w:after="0"/>
              <w:rPr>
                <w:sz w:val="21"/>
                <w:szCs w:val="21"/>
                <w:color w:val="auto"/>
              </w:rPr>
            </w:pPr>
          </w:p>
        </w:tc>
        <w:tc>
          <w:tcPr>
            <w:tcW w:w="140" w:type="dxa"/>
            <w:vAlign w:val="bottom"/>
            <w:tcBorders>
              <w:top w:val="single" w:sz="8" w:color="CCEEFF"/>
            </w:tcBorders>
          </w:tcPr>
          <w:p>
            <w:pPr>
              <w:spacing w:after="0"/>
              <w:rPr>
                <w:sz w:val="21"/>
                <w:szCs w:val="21"/>
                <w:color w:val="auto"/>
              </w:rPr>
            </w:pPr>
          </w:p>
        </w:tc>
        <w:tc>
          <w:tcPr>
            <w:tcW w:w="340" w:type="dxa"/>
            <w:vAlign w:val="bottom"/>
            <w:tcBorders>
              <w:top w:val="single" w:sz="8" w:color="0000EE"/>
            </w:tcBorders>
          </w:tcPr>
          <w:p>
            <w:pPr>
              <w:spacing w:after="0"/>
              <w:rPr>
                <w:sz w:val="21"/>
                <w:szCs w:val="21"/>
                <w:color w:val="auto"/>
              </w:rPr>
            </w:pPr>
          </w:p>
        </w:tc>
        <w:tc>
          <w:tcPr>
            <w:tcW w:w="480" w:type="dxa"/>
            <w:vAlign w:val="bottom"/>
            <w:tcBorders>
              <w:top w:val="single" w:sz="8" w:color="0000EE"/>
            </w:tcBorders>
          </w:tcPr>
          <w:p>
            <w:pPr>
              <w:spacing w:after="0"/>
              <w:rPr>
                <w:sz w:val="21"/>
                <w:szCs w:val="21"/>
                <w:color w:val="auto"/>
              </w:rPr>
            </w:pPr>
          </w:p>
        </w:tc>
        <w:tc>
          <w:tcPr>
            <w:tcW w:w="340" w:type="dxa"/>
            <w:vAlign w:val="bottom"/>
            <w:tcBorders>
              <w:top w:val="single" w:sz="8" w:color="0000EE"/>
            </w:tcBorders>
          </w:tcPr>
          <w:p>
            <w:pPr>
              <w:spacing w:after="0"/>
              <w:rPr>
                <w:sz w:val="21"/>
                <w:szCs w:val="21"/>
                <w:color w:val="auto"/>
              </w:rPr>
            </w:pPr>
          </w:p>
        </w:tc>
        <w:tc>
          <w:tcPr>
            <w:tcW w:w="240" w:type="dxa"/>
            <w:vAlign w:val="bottom"/>
            <w:tcBorders>
              <w:top w:val="single" w:sz="8" w:color="0000EE"/>
            </w:tcBorders>
          </w:tcPr>
          <w:p>
            <w:pPr>
              <w:spacing w:after="0"/>
              <w:rPr>
                <w:sz w:val="21"/>
                <w:szCs w:val="21"/>
                <w:color w:val="auto"/>
              </w:rPr>
            </w:pPr>
          </w:p>
        </w:tc>
        <w:tc>
          <w:tcPr>
            <w:tcW w:w="240" w:type="dxa"/>
            <w:vAlign w:val="bottom"/>
            <w:tcBorders>
              <w:top w:val="single" w:sz="8" w:color="0000EE"/>
            </w:tcBorders>
          </w:tcPr>
          <w:p>
            <w:pPr>
              <w:spacing w:after="0"/>
              <w:rPr>
                <w:sz w:val="21"/>
                <w:szCs w:val="21"/>
                <w:color w:val="auto"/>
              </w:rPr>
            </w:pPr>
          </w:p>
        </w:tc>
        <w:tc>
          <w:tcPr>
            <w:tcW w:w="920" w:type="dxa"/>
            <w:vAlign w:val="bottom"/>
            <w:tcBorders>
              <w:top w:val="single" w:sz="8" w:color="0000EE"/>
            </w:tcBorders>
          </w:tcPr>
          <w:p>
            <w:pPr>
              <w:spacing w:after="0"/>
              <w:rPr>
                <w:sz w:val="21"/>
                <w:szCs w:val="21"/>
                <w:color w:val="auto"/>
              </w:rPr>
            </w:pPr>
          </w:p>
        </w:tc>
        <w:tc>
          <w:tcPr>
            <w:tcW w:w="160" w:type="dxa"/>
            <w:vAlign w:val="bottom"/>
            <w:tcBorders>
              <w:top w:val="single" w:sz="8" w:color="0000EE"/>
            </w:tcBorders>
          </w:tcPr>
          <w:p>
            <w:pPr>
              <w:spacing w:after="0"/>
              <w:rPr>
                <w:sz w:val="21"/>
                <w:szCs w:val="21"/>
                <w:color w:val="auto"/>
              </w:rPr>
            </w:pPr>
          </w:p>
        </w:tc>
        <w:tc>
          <w:tcPr>
            <w:tcW w:w="120" w:type="dxa"/>
            <w:vAlign w:val="bottom"/>
            <w:tcBorders>
              <w:top w:val="single" w:sz="8" w:color="0000EE"/>
            </w:tcBorders>
          </w:tcPr>
          <w:p>
            <w:pPr>
              <w:spacing w:after="0"/>
              <w:rPr>
                <w:sz w:val="21"/>
                <w:szCs w:val="21"/>
                <w:color w:val="auto"/>
              </w:rPr>
            </w:pPr>
          </w:p>
        </w:tc>
        <w:tc>
          <w:tcPr>
            <w:tcW w:w="440" w:type="dxa"/>
            <w:vAlign w:val="bottom"/>
            <w:tcBorders>
              <w:top w:val="single" w:sz="8" w:color="0000EE"/>
            </w:tcBorders>
          </w:tcPr>
          <w:p>
            <w:pPr>
              <w:spacing w:after="0"/>
              <w:rPr>
                <w:sz w:val="21"/>
                <w:szCs w:val="21"/>
                <w:color w:val="auto"/>
              </w:rPr>
            </w:pPr>
          </w:p>
        </w:tc>
        <w:tc>
          <w:tcPr>
            <w:tcW w:w="180" w:type="dxa"/>
            <w:vAlign w:val="bottom"/>
            <w:tcBorders>
              <w:top w:val="single" w:sz="8" w:color="0000EE"/>
            </w:tcBorders>
          </w:tcPr>
          <w:p>
            <w:pPr>
              <w:spacing w:after="0"/>
              <w:rPr>
                <w:sz w:val="21"/>
                <w:szCs w:val="21"/>
                <w:color w:val="auto"/>
              </w:rPr>
            </w:pPr>
          </w:p>
        </w:tc>
        <w:tc>
          <w:tcPr>
            <w:tcW w:w="60" w:type="dxa"/>
            <w:vAlign w:val="bottom"/>
            <w:tcBorders>
              <w:top w:val="single" w:sz="8" w:color="0000EE"/>
            </w:tcBorders>
          </w:tcPr>
          <w:p>
            <w:pPr>
              <w:spacing w:after="0"/>
              <w:rPr>
                <w:sz w:val="21"/>
                <w:szCs w:val="21"/>
                <w:color w:val="auto"/>
              </w:rPr>
            </w:pPr>
          </w:p>
        </w:tc>
        <w:tc>
          <w:tcPr>
            <w:tcW w:w="340" w:type="dxa"/>
            <w:vAlign w:val="bottom"/>
            <w:tcBorders>
              <w:top w:val="single" w:sz="8" w:color="0000EE"/>
            </w:tcBorders>
          </w:tcPr>
          <w:p>
            <w:pPr>
              <w:spacing w:after="0"/>
              <w:rPr>
                <w:sz w:val="21"/>
                <w:szCs w:val="21"/>
                <w:color w:val="auto"/>
              </w:rPr>
            </w:pPr>
          </w:p>
        </w:tc>
        <w:tc>
          <w:tcPr>
            <w:tcW w:w="80" w:type="dxa"/>
            <w:vAlign w:val="bottom"/>
            <w:tcBorders>
              <w:top w:val="single" w:sz="8" w:color="0000EE"/>
            </w:tcBorders>
          </w:tcPr>
          <w:p>
            <w:pPr>
              <w:spacing w:after="0"/>
              <w:rPr>
                <w:sz w:val="21"/>
                <w:szCs w:val="21"/>
                <w:color w:val="auto"/>
              </w:rPr>
            </w:pPr>
          </w:p>
        </w:tc>
        <w:tc>
          <w:tcPr>
            <w:tcW w:w="80" w:type="dxa"/>
            <w:vAlign w:val="bottom"/>
            <w:tcBorders>
              <w:top w:val="single" w:sz="8" w:color="0000EE"/>
            </w:tcBorders>
          </w:tcPr>
          <w:p>
            <w:pPr>
              <w:spacing w:after="0"/>
              <w:rPr>
                <w:sz w:val="21"/>
                <w:szCs w:val="21"/>
                <w:color w:val="auto"/>
              </w:rPr>
            </w:pPr>
          </w:p>
        </w:tc>
        <w:tc>
          <w:tcPr>
            <w:tcW w:w="60" w:type="dxa"/>
            <w:vAlign w:val="bottom"/>
            <w:tcBorders>
              <w:top w:val="single" w:sz="8" w:color="CCEEFF"/>
            </w:tcBorders>
          </w:tcPr>
          <w:p>
            <w:pPr>
              <w:spacing w:after="0"/>
              <w:rPr>
                <w:sz w:val="21"/>
                <w:szCs w:val="21"/>
                <w:color w:val="auto"/>
              </w:rPr>
            </w:pPr>
          </w:p>
        </w:tc>
        <w:tc>
          <w:tcPr>
            <w:tcW w:w="20" w:type="dxa"/>
            <w:vAlign w:val="bottom"/>
            <w:tcBorders>
              <w:top w:val="single" w:sz="8" w:color="CCEEFF"/>
            </w:tcBorders>
          </w:tcPr>
          <w:p>
            <w:pPr>
              <w:spacing w:after="0"/>
              <w:rPr>
                <w:sz w:val="21"/>
                <w:szCs w:val="21"/>
                <w:color w:val="auto"/>
              </w:rPr>
            </w:pPr>
          </w:p>
        </w:tc>
        <w:tc>
          <w:tcPr>
            <w:tcW w:w="20" w:type="dxa"/>
            <w:vAlign w:val="bottom"/>
            <w:tcBorders>
              <w:top w:val="single" w:sz="8" w:color="CCEEFF"/>
            </w:tcBorders>
          </w:tcPr>
          <w:p>
            <w:pPr>
              <w:spacing w:after="0"/>
              <w:rPr>
                <w:sz w:val="21"/>
                <w:szCs w:val="21"/>
                <w:color w:val="auto"/>
              </w:rPr>
            </w:pPr>
          </w:p>
        </w:tc>
        <w:tc>
          <w:tcPr>
            <w:tcW w:w="260" w:type="dxa"/>
            <w:vAlign w:val="bottom"/>
            <w:tcBorders>
              <w:top w:val="single" w:sz="8" w:color="CCEEFF"/>
            </w:tcBorders>
          </w:tcPr>
          <w:p>
            <w:pPr>
              <w:spacing w:after="0"/>
              <w:rPr>
                <w:sz w:val="21"/>
                <w:szCs w:val="21"/>
                <w:color w:val="auto"/>
              </w:rPr>
            </w:pPr>
          </w:p>
        </w:tc>
        <w:tc>
          <w:tcPr>
            <w:tcW w:w="80" w:type="dxa"/>
            <w:vAlign w:val="bottom"/>
            <w:tcBorders>
              <w:top w:val="single" w:sz="8" w:color="CCEEFF"/>
            </w:tcBorders>
          </w:tcPr>
          <w:p>
            <w:pPr>
              <w:spacing w:after="0"/>
              <w:rPr>
                <w:sz w:val="21"/>
                <w:szCs w:val="21"/>
                <w:color w:val="auto"/>
              </w:rPr>
            </w:pPr>
          </w:p>
        </w:tc>
        <w:tc>
          <w:tcPr>
            <w:tcW w:w="20" w:type="dxa"/>
            <w:vAlign w:val="bottom"/>
            <w:tcBorders>
              <w:top w:val="single" w:sz="8" w:color="CCEEFF"/>
            </w:tcBorders>
          </w:tcPr>
          <w:p>
            <w:pPr>
              <w:spacing w:after="0"/>
              <w:rPr>
                <w:sz w:val="21"/>
                <w:szCs w:val="21"/>
                <w:color w:val="auto"/>
              </w:rPr>
            </w:pPr>
          </w:p>
        </w:tc>
        <w:tc>
          <w:tcPr>
            <w:tcW w:w="380" w:type="dxa"/>
            <w:vAlign w:val="bottom"/>
            <w:tcBorders>
              <w:top w:val="single" w:sz="8" w:color="CCEEFF"/>
            </w:tcBorders>
          </w:tcPr>
          <w:p>
            <w:pPr>
              <w:spacing w:after="0"/>
              <w:rPr>
                <w:sz w:val="21"/>
                <w:szCs w:val="21"/>
                <w:color w:val="auto"/>
              </w:rPr>
            </w:pPr>
          </w:p>
        </w:tc>
        <w:tc>
          <w:tcPr>
            <w:tcW w:w="40" w:type="dxa"/>
            <w:vAlign w:val="bottom"/>
            <w:tcBorders>
              <w:top w:val="single" w:sz="8" w:color="CCEEFF"/>
            </w:tcBorders>
          </w:tcPr>
          <w:p>
            <w:pPr>
              <w:spacing w:after="0"/>
              <w:rPr>
                <w:sz w:val="21"/>
                <w:szCs w:val="21"/>
                <w:color w:val="auto"/>
              </w:rPr>
            </w:pPr>
          </w:p>
        </w:tc>
        <w:tc>
          <w:tcPr>
            <w:tcW w:w="80" w:type="dxa"/>
            <w:vAlign w:val="bottom"/>
            <w:tcBorders>
              <w:top w:val="single" w:sz="8" w:color="CCEEFF"/>
            </w:tcBorders>
          </w:tcPr>
          <w:p>
            <w:pPr>
              <w:spacing w:after="0"/>
              <w:rPr>
                <w:sz w:val="21"/>
                <w:szCs w:val="21"/>
                <w:color w:val="auto"/>
              </w:rPr>
            </w:pPr>
          </w:p>
        </w:tc>
        <w:tc>
          <w:tcPr>
            <w:tcW w:w="100" w:type="dxa"/>
            <w:vAlign w:val="bottom"/>
            <w:tcBorders>
              <w:top w:val="single" w:sz="8" w:color="CCEEFF"/>
            </w:tcBorders>
          </w:tcPr>
          <w:p>
            <w:pPr>
              <w:spacing w:after="0"/>
              <w:rPr>
                <w:sz w:val="21"/>
                <w:szCs w:val="21"/>
                <w:color w:val="auto"/>
              </w:rPr>
            </w:pPr>
          </w:p>
        </w:tc>
        <w:tc>
          <w:tcPr>
            <w:tcW w:w="1580" w:type="dxa"/>
            <w:vAlign w:val="bottom"/>
            <w:tcBorders>
              <w:top w:val="single" w:sz="8" w:color="CCEEFF"/>
            </w:tcBorders>
          </w:tcPr>
          <w:p>
            <w:pPr>
              <w:spacing w:after="0"/>
              <w:rPr>
                <w:sz w:val="21"/>
                <w:szCs w:val="21"/>
                <w:color w:val="auto"/>
              </w:rPr>
            </w:pPr>
          </w:p>
        </w:tc>
        <w:tc>
          <w:tcPr>
            <w:tcW w:w="1740" w:type="dxa"/>
            <w:vAlign w:val="bottom"/>
            <w:tcBorders>
              <w:top w:val="single" w:sz="8" w:color="CCEEFF"/>
            </w:tcBorders>
          </w:tcPr>
          <w:p>
            <w:pPr>
              <w:spacing w:after="0"/>
              <w:rPr>
                <w:sz w:val="21"/>
                <w:szCs w:val="21"/>
                <w:color w:val="auto"/>
              </w:rPr>
            </w:pPr>
          </w:p>
        </w:tc>
        <w:tc>
          <w:tcPr>
            <w:tcW w:w="380" w:type="dxa"/>
            <w:vAlign w:val="bottom"/>
            <w:tcBorders>
              <w:top w:val="single" w:sz="8" w:color="CCEEFF"/>
            </w:tcBorders>
          </w:tcPr>
          <w:p>
            <w:pPr>
              <w:spacing w:after="0"/>
              <w:rPr>
                <w:sz w:val="21"/>
                <w:szCs w:val="21"/>
                <w:color w:val="auto"/>
              </w:rPr>
            </w:pPr>
          </w:p>
        </w:tc>
        <w:tc>
          <w:tcPr>
            <w:tcW w:w="120" w:type="dxa"/>
            <w:vAlign w:val="bottom"/>
            <w:tcBorders>
              <w:top w:val="single" w:sz="8" w:color="CCEEFF"/>
            </w:tcBorders>
          </w:tcPr>
          <w:p>
            <w:pPr>
              <w:spacing w:after="0"/>
              <w:rPr>
                <w:sz w:val="21"/>
                <w:szCs w:val="21"/>
                <w:color w:val="auto"/>
              </w:rPr>
            </w:pPr>
          </w:p>
        </w:tc>
      </w:tr>
      <w:tr>
        <w:trPr>
          <w:trHeight w:val="210"/>
        </w:trPr>
        <w:tc>
          <w:tcPr>
            <w:tcW w:w="100" w:type="dxa"/>
            <w:vAlign w:val="bottom"/>
            <w:shd w:val="clear" w:color="auto" w:fill="CCEEFF"/>
          </w:tcPr>
          <w:p>
            <w:pPr>
              <w:spacing w:after="0"/>
              <w:rPr>
                <w:sz w:val="18"/>
                <w:szCs w:val="18"/>
                <w:color w:val="auto"/>
              </w:rPr>
            </w:pPr>
          </w:p>
        </w:tc>
        <w:tc>
          <w:tcPr>
            <w:tcW w:w="660" w:type="dxa"/>
            <w:vAlign w:val="bottom"/>
            <w:tcBorders>
              <w:right w:val="single" w:sz="8" w:color="CCEEFF"/>
            </w:tcBorders>
            <w:shd w:val="clear" w:color="auto" w:fill="CCEEFF"/>
          </w:tcPr>
          <w:p>
            <w:pPr>
              <w:spacing w:after="0"/>
              <w:rPr>
                <w:sz w:val="18"/>
                <w:szCs w:val="18"/>
                <w:color w:val="auto"/>
              </w:rPr>
            </w:pPr>
          </w:p>
        </w:tc>
        <w:tc>
          <w:tcPr>
            <w:tcW w:w="8720" w:type="dxa"/>
            <w:vAlign w:val="bottom"/>
            <w:gridSpan w:val="28"/>
            <w:shd w:val="clear" w:color="auto" w:fill="CCEEFF"/>
          </w:tcPr>
          <w:p>
            <w:pPr>
              <w:spacing w:after="0" w:line="189" w:lineRule="exact"/>
              <w:rPr>
                <w:rFonts w:ascii="Arial" w:cs="Arial" w:eastAsia="Arial" w:hAnsi="Arial"/>
                <w:sz w:val="20"/>
                <w:szCs w:val="20"/>
                <w:color w:val="0000EE"/>
              </w:rPr>
            </w:pPr>
            <w:hyperlink w:anchor="page10">
              <w:r>
                <w:rPr>
                  <w:rFonts w:ascii="Arial" w:cs="Arial" w:eastAsia="Arial" w:hAnsi="Arial"/>
                  <w:sz w:val="20"/>
                  <w:szCs w:val="20"/>
                  <w:color w:val="0000EE"/>
                </w:rPr>
                <w:t>Notes to Consolidated Financial Statements (unaudited)</w:t>
              </w:r>
            </w:hyperlink>
          </w:p>
        </w:tc>
        <w:tc>
          <w:tcPr>
            <w:tcW w:w="500" w:type="dxa"/>
            <w:vAlign w:val="bottom"/>
            <w:gridSpan w:val="2"/>
            <w:shd w:val="clear" w:color="auto" w:fill="CCEEFF"/>
          </w:tcPr>
          <w:p>
            <w:pPr>
              <w:jc w:val="right"/>
              <w:ind w:right="40"/>
              <w:spacing w:after="0" w:line="189" w:lineRule="exact"/>
              <w:rPr>
                <w:sz w:val="20"/>
                <w:szCs w:val="20"/>
                <w:color w:val="auto"/>
              </w:rPr>
            </w:pPr>
            <w:r>
              <w:rPr>
                <w:rFonts w:ascii="Arial" w:cs="Arial" w:eastAsia="Arial" w:hAnsi="Arial"/>
                <w:sz w:val="20"/>
                <w:szCs w:val="20"/>
                <w:color w:val="auto"/>
              </w:rPr>
              <w:t>9</w:t>
            </w:r>
          </w:p>
        </w:tc>
      </w:tr>
      <w:tr>
        <w:trPr>
          <w:trHeight w:val="243"/>
        </w:trPr>
        <w:tc>
          <w:tcPr>
            <w:tcW w:w="100" w:type="dxa"/>
            <w:vAlign w:val="bottom"/>
            <w:tcBorders>
              <w:top w:val="single" w:sz="8" w:color="CCEEFF"/>
            </w:tcBorders>
          </w:tcPr>
          <w:p>
            <w:pPr>
              <w:spacing w:after="0"/>
              <w:rPr>
                <w:sz w:val="21"/>
                <w:szCs w:val="21"/>
                <w:color w:val="auto"/>
              </w:rPr>
            </w:pPr>
          </w:p>
        </w:tc>
        <w:tc>
          <w:tcPr>
            <w:tcW w:w="660" w:type="dxa"/>
            <w:vAlign w:val="bottom"/>
            <w:tcBorders>
              <w:top w:val="single" w:sz="8" w:color="CCEEFF"/>
            </w:tcBorders>
          </w:tcPr>
          <w:p>
            <w:pPr>
              <w:spacing w:after="0"/>
              <w:rPr>
                <w:sz w:val="21"/>
                <w:szCs w:val="21"/>
                <w:color w:val="auto"/>
              </w:rPr>
            </w:pPr>
          </w:p>
        </w:tc>
        <w:tc>
          <w:tcPr>
            <w:tcW w:w="180" w:type="dxa"/>
            <w:vAlign w:val="bottom"/>
            <w:tcBorders>
              <w:top w:val="single" w:sz="8" w:color="0000EE"/>
            </w:tcBorders>
          </w:tcPr>
          <w:p>
            <w:pPr>
              <w:spacing w:after="0"/>
              <w:rPr>
                <w:sz w:val="21"/>
                <w:szCs w:val="21"/>
                <w:color w:val="auto"/>
              </w:rPr>
            </w:pPr>
          </w:p>
        </w:tc>
        <w:tc>
          <w:tcPr>
            <w:tcW w:w="140" w:type="dxa"/>
            <w:vAlign w:val="bottom"/>
            <w:tcBorders>
              <w:top w:val="single" w:sz="8" w:color="0000EE"/>
            </w:tcBorders>
          </w:tcPr>
          <w:p>
            <w:pPr>
              <w:spacing w:after="0"/>
              <w:rPr>
                <w:sz w:val="21"/>
                <w:szCs w:val="21"/>
                <w:color w:val="auto"/>
              </w:rPr>
            </w:pPr>
          </w:p>
        </w:tc>
        <w:tc>
          <w:tcPr>
            <w:tcW w:w="340" w:type="dxa"/>
            <w:vAlign w:val="bottom"/>
            <w:tcBorders>
              <w:top w:val="single" w:sz="8" w:color="0000EE"/>
            </w:tcBorders>
          </w:tcPr>
          <w:p>
            <w:pPr>
              <w:spacing w:after="0"/>
              <w:rPr>
                <w:sz w:val="21"/>
                <w:szCs w:val="21"/>
                <w:color w:val="auto"/>
              </w:rPr>
            </w:pPr>
          </w:p>
        </w:tc>
        <w:tc>
          <w:tcPr>
            <w:tcW w:w="480" w:type="dxa"/>
            <w:vAlign w:val="bottom"/>
            <w:tcBorders>
              <w:top w:val="single" w:sz="8" w:color="0000EE"/>
            </w:tcBorders>
          </w:tcPr>
          <w:p>
            <w:pPr>
              <w:spacing w:after="0"/>
              <w:rPr>
                <w:sz w:val="21"/>
                <w:szCs w:val="21"/>
                <w:color w:val="auto"/>
              </w:rPr>
            </w:pPr>
          </w:p>
        </w:tc>
        <w:tc>
          <w:tcPr>
            <w:tcW w:w="340" w:type="dxa"/>
            <w:vAlign w:val="bottom"/>
            <w:tcBorders>
              <w:top w:val="single" w:sz="8" w:color="0000EE"/>
            </w:tcBorders>
          </w:tcPr>
          <w:p>
            <w:pPr>
              <w:spacing w:after="0"/>
              <w:rPr>
                <w:sz w:val="21"/>
                <w:szCs w:val="21"/>
                <w:color w:val="auto"/>
              </w:rPr>
            </w:pPr>
          </w:p>
        </w:tc>
        <w:tc>
          <w:tcPr>
            <w:tcW w:w="240" w:type="dxa"/>
            <w:vAlign w:val="bottom"/>
            <w:tcBorders>
              <w:top w:val="single" w:sz="8" w:color="0000EE"/>
            </w:tcBorders>
          </w:tcPr>
          <w:p>
            <w:pPr>
              <w:spacing w:after="0"/>
              <w:rPr>
                <w:sz w:val="21"/>
                <w:szCs w:val="21"/>
                <w:color w:val="auto"/>
              </w:rPr>
            </w:pPr>
          </w:p>
        </w:tc>
        <w:tc>
          <w:tcPr>
            <w:tcW w:w="240" w:type="dxa"/>
            <w:vAlign w:val="bottom"/>
            <w:tcBorders>
              <w:top w:val="single" w:sz="8" w:color="0000EE"/>
            </w:tcBorders>
          </w:tcPr>
          <w:p>
            <w:pPr>
              <w:spacing w:after="0"/>
              <w:rPr>
                <w:sz w:val="21"/>
                <w:szCs w:val="21"/>
                <w:color w:val="auto"/>
              </w:rPr>
            </w:pPr>
          </w:p>
        </w:tc>
        <w:tc>
          <w:tcPr>
            <w:tcW w:w="920" w:type="dxa"/>
            <w:vAlign w:val="bottom"/>
            <w:tcBorders>
              <w:top w:val="single" w:sz="8" w:color="0000EE"/>
            </w:tcBorders>
          </w:tcPr>
          <w:p>
            <w:pPr>
              <w:spacing w:after="0"/>
              <w:rPr>
                <w:sz w:val="21"/>
                <w:szCs w:val="21"/>
                <w:color w:val="auto"/>
              </w:rPr>
            </w:pPr>
          </w:p>
        </w:tc>
        <w:tc>
          <w:tcPr>
            <w:tcW w:w="160" w:type="dxa"/>
            <w:vAlign w:val="bottom"/>
            <w:tcBorders>
              <w:top w:val="single" w:sz="8" w:color="0000EE"/>
            </w:tcBorders>
          </w:tcPr>
          <w:p>
            <w:pPr>
              <w:spacing w:after="0"/>
              <w:rPr>
                <w:sz w:val="21"/>
                <w:szCs w:val="21"/>
                <w:color w:val="auto"/>
              </w:rPr>
            </w:pPr>
          </w:p>
        </w:tc>
        <w:tc>
          <w:tcPr>
            <w:tcW w:w="120" w:type="dxa"/>
            <w:vAlign w:val="bottom"/>
            <w:tcBorders>
              <w:top w:val="single" w:sz="8" w:color="0000EE"/>
            </w:tcBorders>
          </w:tcPr>
          <w:p>
            <w:pPr>
              <w:spacing w:after="0"/>
              <w:rPr>
                <w:sz w:val="21"/>
                <w:szCs w:val="21"/>
                <w:color w:val="auto"/>
              </w:rPr>
            </w:pPr>
          </w:p>
        </w:tc>
        <w:tc>
          <w:tcPr>
            <w:tcW w:w="440" w:type="dxa"/>
            <w:vAlign w:val="bottom"/>
            <w:tcBorders>
              <w:top w:val="single" w:sz="8" w:color="0000EE"/>
            </w:tcBorders>
          </w:tcPr>
          <w:p>
            <w:pPr>
              <w:spacing w:after="0"/>
              <w:rPr>
                <w:sz w:val="21"/>
                <w:szCs w:val="21"/>
                <w:color w:val="auto"/>
              </w:rPr>
            </w:pPr>
          </w:p>
        </w:tc>
        <w:tc>
          <w:tcPr>
            <w:tcW w:w="180" w:type="dxa"/>
            <w:vAlign w:val="bottom"/>
            <w:tcBorders>
              <w:top w:val="single" w:sz="8" w:color="0000EE"/>
            </w:tcBorders>
          </w:tcPr>
          <w:p>
            <w:pPr>
              <w:spacing w:after="0"/>
              <w:rPr>
                <w:sz w:val="21"/>
                <w:szCs w:val="21"/>
                <w:color w:val="auto"/>
              </w:rPr>
            </w:pPr>
          </w:p>
        </w:tc>
        <w:tc>
          <w:tcPr>
            <w:tcW w:w="60" w:type="dxa"/>
            <w:vAlign w:val="bottom"/>
            <w:tcBorders>
              <w:top w:val="single" w:sz="8" w:color="0000EE"/>
            </w:tcBorders>
          </w:tcPr>
          <w:p>
            <w:pPr>
              <w:spacing w:after="0"/>
              <w:rPr>
                <w:sz w:val="21"/>
                <w:szCs w:val="21"/>
                <w:color w:val="auto"/>
              </w:rPr>
            </w:pPr>
          </w:p>
        </w:tc>
        <w:tc>
          <w:tcPr>
            <w:tcW w:w="340" w:type="dxa"/>
            <w:vAlign w:val="bottom"/>
            <w:tcBorders>
              <w:top w:val="single" w:sz="8" w:color="0000EE"/>
            </w:tcBorders>
          </w:tcPr>
          <w:p>
            <w:pPr>
              <w:spacing w:after="0"/>
              <w:rPr>
                <w:sz w:val="21"/>
                <w:szCs w:val="21"/>
                <w:color w:val="auto"/>
              </w:rPr>
            </w:pPr>
          </w:p>
        </w:tc>
        <w:tc>
          <w:tcPr>
            <w:tcW w:w="80" w:type="dxa"/>
            <w:vAlign w:val="bottom"/>
            <w:tcBorders>
              <w:top w:val="single" w:sz="8" w:color="0000EE"/>
            </w:tcBorders>
          </w:tcPr>
          <w:p>
            <w:pPr>
              <w:spacing w:after="0"/>
              <w:rPr>
                <w:sz w:val="21"/>
                <w:szCs w:val="21"/>
                <w:color w:val="auto"/>
              </w:rPr>
            </w:pPr>
          </w:p>
        </w:tc>
        <w:tc>
          <w:tcPr>
            <w:tcW w:w="80" w:type="dxa"/>
            <w:vAlign w:val="bottom"/>
            <w:tcBorders>
              <w:top w:val="single" w:sz="8" w:color="0000EE"/>
            </w:tcBorders>
          </w:tcPr>
          <w:p>
            <w:pPr>
              <w:spacing w:after="0"/>
              <w:rPr>
                <w:sz w:val="21"/>
                <w:szCs w:val="21"/>
                <w:color w:val="auto"/>
              </w:rPr>
            </w:pPr>
          </w:p>
        </w:tc>
        <w:tc>
          <w:tcPr>
            <w:tcW w:w="60" w:type="dxa"/>
            <w:vAlign w:val="bottom"/>
            <w:tcBorders>
              <w:top w:val="single" w:sz="8" w:color="0000EE"/>
            </w:tcBorders>
          </w:tcPr>
          <w:p>
            <w:pPr>
              <w:spacing w:after="0"/>
              <w:rPr>
                <w:sz w:val="21"/>
                <w:szCs w:val="21"/>
                <w:color w:val="auto"/>
              </w:rPr>
            </w:pPr>
          </w:p>
        </w:tc>
        <w:tc>
          <w:tcPr>
            <w:tcW w:w="20" w:type="dxa"/>
            <w:vAlign w:val="bottom"/>
            <w:tcBorders>
              <w:top w:val="single" w:sz="8" w:color="0000EE"/>
            </w:tcBorders>
          </w:tcPr>
          <w:p>
            <w:pPr>
              <w:spacing w:after="0"/>
              <w:rPr>
                <w:sz w:val="21"/>
                <w:szCs w:val="21"/>
                <w:color w:val="auto"/>
              </w:rPr>
            </w:pPr>
          </w:p>
        </w:tc>
        <w:tc>
          <w:tcPr>
            <w:tcW w:w="20" w:type="dxa"/>
            <w:vAlign w:val="bottom"/>
            <w:tcBorders>
              <w:top w:val="single" w:sz="8" w:color="CCEEFF"/>
            </w:tcBorders>
          </w:tcPr>
          <w:p>
            <w:pPr>
              <w:spacing w:after="0"/>
              <w:rPr>
                <w:sz w:val="21"/>
                <w:szCs w:val="21"/>
                <w:color w:val="auto"/>
              </w:rPr>
            </w:pPr>
          </w:p>
        </w:tc>
        <w:tc>
          <w:tcPr>
            <w:tcW w:w="260" w:type="dxa"/>
            <w:vAlign w:val="bottom"/>
            <w:tcBorders>
              <w:top w:val="single" w:sz="8" w:color="CCEEFF"/>
            </w:tcBorders>
          </w:tcPr>
          <w:p>
            <w:pPr>
              <w:spacing w:after="0"/>
              <w:rPr>
                <w:sz w:val="21"/>
                <w:szCs w:val="21"/>
                <w:color w:val="auto"/>
              </w:rPr>
            </w:pPr>
          </w:p>
        </w:tc>
        <w:tc>
          <w:tcPr>
            <w:tcW w:w="80" w:type="dxa"/>
            <w:vAlign w:val="bottom"/>
            <w:tcBorders>
              <w:top w:val="single" w:sz="8" w:color="CCEEFF"/>
            </w:tcBorders>
          </w:tcPr>
          <w:p>
            <w:pPr>
              <w:spacing w:after="0"/>
              <w:rPr>
                <w:sz w:val="21"/>
                <w:szCs w:val="21"/>
                <w:color w:val="auto"/>
              </w:rPr>
            </w:pPr>
          </w:p>
        </w:tc>
        <w:tc>
          <w:tcPr>
            <w:tcW w:w="20" w:type="dxa"/>
            <w:vAlign w:val="bottom"/>
            <w:tcBorders>
              <w:top w:val="single" w:sz="8" w:color="CCEEFF"/>
            </w:tcBorders>
          </w:tcPr>
          <w:p>
            <w:pPr>
              <w:spacing w:after="0"/>
              <w:rPr>
                <w:sz w:val="21"/>
                <w:szCs w:val="21"/>
                <w:color w:val="auto"/>
              </w:rPr>
            </w:pPr>
          </w:p>
        </w:tc>
        <w:tc>
          <w:tcPr>
            <w:tcW w:w="380" w:type="dxa"/>
            <w:vAlign w:val="bottom"/>
            <w:tcBorders>
              <w:top w:val="single" w:sz="8" w:color="CCEEFF"/>
            </w:tcBorders>
          </w:tcPr>
          <w:p>
            <w:pPr>
              <w:spacing w:after="0"/>
              <w:rPr>
                <w:sz w:val="21"/>
                <w:szCs w:val="21"/>
                <w:color w:val="auto"/>
              </w:rPr>
            </w:pPr>
          </w:p>
        </w:tc>
        <w:tc>
          <w:tcPr>
            <w:tcW w:w="40" w:type="dxa"/>
            <w:vAlign w:val="bottom"/>
            <w:tcBorders>
              <w:top w:val="single" w:sz="8" w:color="CCEEFF"/>
            </w:tcBorders>
          </w:tcPr>
          <w:p>
            <w:pPr>
              <w:spacing w:after="0"/>
              <w:rPr>
                <w:sz w:val="21"/>
                <w:szCs w:val="21"/>
                <w:color w:val="auto"/>
              </w:rPr>
            </w:pPr>
          </w:p>
        </w:tc>
        <w:tc>
          <w:tcPr>
            <w:tcW w:w="80" w:type="dxa"/>
            <w:vAlign w:val="bottom"/>
            <w:tcBorders>
              <w:top w:val="single" w:sz="8" w:color="CCEEFF"/>
            </w:tcBorders>
          </w:tcPr>
          <w:p>
            <w:pPr>
              <w:spacing w:after="0"/>
              <w:rPr>
                <w:sz w:val="21"/>
                <w:szCs w:val="21"/>
                <w:color w:val="auto"/>
              </w:rPr>
            </w:pPr>
          </w:p>
        </w:tc>
        <w:tc>
          <w:tcPr>
            <w:tcW w:w="100" w:type="dxa"/>
            <w:vAlign w:val="bottom"/>
            <w:tcBorders>
              <w:top w:val="single" w:sz="8" w:color="CCEEFF"/>
            </w:tcBorders>
          </w:tcPr>
          <w:p>
            <w:pPr>
              <w:spacing w:after="0"/>
              <w:rPr>
                <w:sz w:val="21"/>
                <w:szCs w:val="21"/>
                <w:color w:val="auto"/>
              </w:rPr>
            </w:pPr>
          </w:p>
        </w:tc>
        <w:tc>
          <w:tcPr>
            <w:tcW w:w="1580" w:type="dxa"/>
            <w:vAlign w:val="bottom"/>
            <w:tcBorders>
              <w:top w:val="single" w:sz="8" w:color="CCEEFF"/>
            </w:tcBorders>
          </w:tcPr>
          <w:p>
            <w:pPr>
              <w:spacing w:after="0"/>
              <w:rPr>
                <w:sz w:val="21"/>
                <w:szCs w:val="21"/>
                <w:color w:val="auto"/>
              </w:rPr>
            </w:pPr>
          </w:p>
        </w:tc>
        <w:tc>
          <w:tcPr>
            <w:tcW w:w="1740" w:type="dxa"/>
            <w:vAlign w:val="bottom"/>
            <w:tcBorders>
              <w:top w:val="single" w:sz="8" w:color="CCEEFF"/>
            </w:tcBorders>
          </w:tcPr>
          <w:p>
            <w:pPr>
              <w:spacing w:after="0"/>
              <w:rPr>
                <w:sz w:val="21"/>
                <w:szCs w:val="21"/>
                <w:color w:val="auto"/>
              </w:rPr>
            </w:pPr>
          </w:p>
        </w:tc>
        <w:tc>
          <w:tcPr>
            <w:tcW w:w="380" w:type="dxa"/>
            <w:vAlign w:val="bottom"/>
            <w:tcBorders>
              <w:top w:val="single" w:sz="8" w:color="CCEEFF"/>
            </w:tcBorders>
          </w:tcPr>
          <w:p>
            <w:pPr>
              <w:spacing w:after="0"/>
              <w:rPr>
                <w:sz w:val="21"/>
                <w:szCs w:val="21"/>
                <w:color w:val="auto"/>
              </w:rPr>
            </w:pPr>
          </w:p>
        </w:tc>
        <w:tc>
          <w:tcPr>
            <w:tcW w:w="120" w:type="dxa"/>
            <w:vAlign w:val="bottom"/>
            <w:tcBorders>
              <w:top w:val="single" w:sz="8" w:color="CCEEFF"/>
            </w:tcBorders>
          </w:tcPr>
          <w:p>
            <w:pPr>
              <w:spacing w:after="0"/>
              <w:rPr>
                <w:sz w:val="21"/>
                <w:szCs w:val="21"/>
                <w:color w:val="auto"/>
              </w:rPr>
            </w:pPr>
          </w:p>
        </w:tc>
      </w:tr>
      <w:tr>
        <w:trPr>
          <w:trHeight w:val="189"/>
        </w:trPr>
        <w:tc>
          <w:tcPr>
            <w:tcW w:w="100" w:type="dxa"/>
            <w:vAlign w:val="bottom"/>
            <w:shd w:val="clear" w:color="auto" w:fill="CCEEFF"/>
          </w:tcPr>
          <w:p>
            <w:pPr>
              <w:spacing w:after="0"/>
              <w:rPr>
                <w:sz w:val="16"/>
                <w:szCs w:val="16"/>
                <w:color w:val="auto"/>
              </w:rPr>
            </w:pPr>
          </w:p>
        </w:tc>
        <w:tc>
          <w:tcPr>
            <w:tcW w:w="9380" w:type="dxa"/>
            <w:vAlign w:val="bottom"/>
            <w:gridSpan w:val="29"/>
            <w:shd w:val="clear" w:color="auto" w:fill="CCEEFF"/>
          </w:tcPr>
          <w:p>
            <w:pPr>
              <w:spacing w:after="0" w:line="189" w:lineRule="exact"/>
              <w:rPr>
                <w:rFonts w:ascii="Arial" w:cs="Arial" w:eastAsia="Arial" w:hAnsi="Arial"/>
                <w:sz w:val="20"/>
                <w:szCs w:val="20"/>
                <w:color w:val="0000EE"/>
              </w:rPr>
            </w:pPr>
            <w:hyperlink w:anchor="page32">
              <w:r>
                <w:rPr>
                  <w:rFonts w:ascii="Arial" w:cs="Arial" w:eastAsia="Arial" w:hAnsi="Arial"/>
                  <w:sz w:val="20"/>
                  <w:szCs w:val="20"/>
                  <w:color w:val="0000EE"/>
                </w:rPr>
                <w:t>Item 2. Management’s Discussion and Analysis of Financial</w:t>
              </w:r>
            </w:hyperlink>
          </w:p>
        </w:tc>
        <w:tc>
          <w:tcPr>
            <w:tcW w:w="3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r>
      <w:tr>
        <w:trPr>
          <w:trHeight w:val="230"/>
        </w:trPr>
        <w:tc>
          <w:tcPr>
            <w:tcW w:w="100" w:type="dxa"/>
            <w:vAlign w:val="bottom"/>
            <w:tcBorders>
              <w:top w:val="single" w:sz="8" w:color="CCEEFF"/>
            </w:tcBorders>
            <w:shd w:val="clear" w:color="auto" w:fill="CCEEFF"/>
          </w:tcPr>
          <w:p>
            <w:pPr>
              <w:spacing w:after="0"/>
              <w:rPr>
                <w:sz w:val="20"/>
                <w:szCs w:val="20"/>
                <w:color w:val="auto"/>
              </w:rPr>
            </w:pPr>
          </w:p>
        </w:tc>
        <w:tc>
          <w:tcPr>
            <w:tcW w:w="660" w:type="dxa"/>
            <w:vAlign w:val="bottom"/>
            <w:tcBorders>
              <w:top w:val="single" w:sz="8" w:color="0000EE"/>
              <w:right w:val="single" w:sz="8" w:color="CCEEFF"/>
            </w:tcBorders>
            <w:shd w:val="clear" w:color="auto" w:fill="CCEEFF"/>
          </w:tcPr>
          <w:p>
            <w:pPr>
              <w:spacing w:after="0"/>
              <w:rPr>
                <w:sz w:val="20"/>
                <w:szCs w:val="20"/>
                <w:color w:val="auto"/>
              </w:rPr>
            </w:pPr>
          </w:p>
        </w:tc>
        <w:tc>
          <w:tcPr>
            <w:tcW w:w="4180" w:type="dxa"/>
            <w:vAlign w:val="bottom"/>
            <w:tcBorders>
              <w:top w:val="single" w:sz="8" w:color="0000EE"/>
              <w:right w:val="single" w:sz="8" w:color="CCEEFF"/>
            </w:tcBorders>
            <w:gridSpan w:val="14"/>
            <w:shd w:val="clear" w:color="auto" w:fill="CCEEFF"/>
          </w:tcPr>
          <w:p>
            <w:pPr>
              <w:spacing w:after="0" w:line="209" w:lineRule="exact"/>
              <w:rPr>
                <w:rFonts w:ascii="Arial" w:cs="Arial" w:eastAsia="Arial" w:hAnsi="Arial"/>
                <w:sz w:val="20"/>
                <w:szCs w:val="20"/>
                <w:color w:val="0000EE"/>
              </w:rPr>
            </w:pPr>
            <w:hyperlink w:anchor="page32">
              <w:r>
                <w:rPr>
                  <w:rFonts w:ascii="Arial" w:cs="Arial" w:eastAsia="Arial" w:hAnsi="Arial"/>
                  <w:sz w:val="20"/>
                  <w:szCs w:val="20"/>
                  <w:color w:val="0000EE"/>
                </w:rPr>
                <w:t>Condition and Results of Operations</w:t>
              </w:r>
            </w:hyperlink>
          </w:p>
        </w:tc>
        <w:tc>
          <w:tcPr>
            <w:tcW w:w="4540" w:type="dxa"/>
            <w:vAlign w:val="bottom"/>
            <w:tcBorders>
              <w:top w:val="single" w:sz="8" w:color="CCEEFF"/>
            </w:tcBorders>
            <w:gridSpan w:val="14"/>
            <w:shd w:val="clear" w:color="auto" w:fill="CCEEFF"/>
          </w:tcPr>
          <w:p>
            <w:pPr>
              <w:spacing w:after="0"/>
              <w:rPr>
                <w:sz w:val="20"/>
                <w:szCs w:val="20"/>
                <w:color w:val="auto"/>
              </w:rPr>
            </w:pPr>
          </w:p>
        </w:tc>
        <w:tc>
          <w:tcPr>
            <w:tcW w:w="500" w:type="dxa"/>
            <w:vAlign w:val="bottom"/>
            <w:tcBorders>
              <w:top w:val="single" w:sz="8" w:color="CCEEFF"/>
            </w:tcBorders>
            <w:gridSpan w:val="2"/>
            <w:shd w:val="clear" w:color="auto" w:fill="CCEEFF"/>
          </w:tcPr>
          <w:p>
            <w:pPr>
              <w:jc w:val="right"/>
              <w:ind w:right="40"/>
              <w:spacing w:after="0" w:line="209" w:lineRule="exact"/>
              <w:rPr>
                <w:sz w:val="20"/>
                <w:szCs w:val="20"/>
                <w:color w:val="auto"/>
              </w:rPr>
            </w:pPr>
            <w:r>
              <w:rPr>
                <w:rFonts w:ascii="Arial" w:cs="Arial" w:eastAsia="Arial" w:hAnsi="Arial"/>
                <w:sz w:val="20"/>
                <w:szCs w:val="20"/>
                <w:color w:val="auto"/>
              </w:rPr>
              <w:t>31</w:t>
            </w:r>
          </w:p>
        </w:tc>
      </w:tr>
      <w:tr>
        <w:trPr>
          <w:trHeight w:val="243"/>
        </w:trPr>
        <w:tc>
          <w:tcPr>
            <w:tcW w:w="100" w:type="dxa"/>
            <w:vAlign w:val="bottom"/>
            <w:tcBorders>
              <w:top w:val="single" w:sz="8" w:color="CCEEFF"/>
            </w:tcBorders>
          </w:tcPr>
          <w:p>
            <w:pPr>
              <w:spacing w:after="0"/>
              <w:rPr>
                <w:sz w:val="21"/>
                <w:szCs w:val="21"/>
                <w:color w:val="auto"/>
              </w:rPr>
            </w:pPr>
          </w:p>
        </w:tc>
        <w:tc>
          <w:tcPr>
            <w:tcW w:w="660" w:type="dxa"/>
            <w:vAlign w:val="bottom"/>
            <w:tcBorders>
              <w:top w:val="single" w:sz="8" w:color="CCEEFF"/>
            </w:tcBorders>
          </w:tcPr>
          <w:p>
            <w:pPr>
              <w:spacing w:after="0"/>
              <w:rPr>
                <w:sz w:val="21"/>
                <w:szCs w:val="21"/>
                <w:color w:val="auto"/>
              </w:rPr>
            </w:pPr>
          </w:p>
        </w:tc>
        <w:tc>
          <w:tcPr>
            <w:tcW w:w="180" w:type="dxa"/>
            <w:vAlign w:val="bottom"/>
            <w:tcBorders>
              <w:top w:val="single" w:sz="8" w:color="0000EE"/>
            </w:tcBorders>
          </w:tcPr>
          <w:p>
            <w:pPr>
              <w:spacing w:after="0"/>
              <w:rPr>
                <w:sz w:val="21"/>
                <w:szCs w:val="21"/>
                <w:color w:val="auto"/>
              </w:rPr>
            </w:pPr>
          </w:p>
        </w:tc>
        <w:tc>
          <w:tcPr>
            <w:tcW w:w="140" w:type="dxa"/>
            <w:vAlign w:val="bottom"/>
            <w:tcBorders>
              <w:top w:val="single" w:sz="8" w:color="0000EE"/>
            </w:tcBorders>
          </w:tcPr>
          <w:p>
            <w:pPr>
              <w:spacing w:after="0"/>
              <w:rPr>
                <w:sz w:val="21"/>
                <w:szCs w:val="21"/>
                <w:color w:val="auto"/>
              </w:rPr>
            </w:pPr>
          </w:p>
        </w:tc>
        <w:tc>
          <w:tcPr>
            <w:tcW w:w="340" w:type="dxa"/>
            <w:vAlign w:val="bottom"/>
            <w:tcBorders>
              <w:top w:val="single" w:sz="8" w:color="0000EE"/>
            </w:tcBorders>
          </w:tcPr>
          <w:p>
            <w:pPr>
              <w:spacing w:after="0"/>
              <w:rPr>
                <w:sz w:val="21"/>
                <w:szCs w:val="21"/>
                <w:color w:val="auto"/>
              </w:rPr>
            </w:pPr>
          </w:p>
        </w:tc>
        <w:tc>
          <w:tcPr>
            <w:tcW w:w="480" w:type="dxa"/>
            <w:vAlign w:val="bottom"/>
            <w:tcBorders>
              <w:top w:val="single" w:sz="8" w:color="0000EE"/>
            </w:tcBorders>
          </w:tcPr>
          <w:p>
            <w:pPr>
              <w:spacing w:after="0"/>
              <w:rPr>
                <w:sz w:val="21"/>
                <w:szCs w:val="21"/>
                <w:color w:val="auto"/>
              </w:rPr>
            </w:pPr>
          </w:p>
        </w:tc>
        <w:tc>
          <w:tcPr>
            <w:tcW w:w="340" w:type="dxa"/>
            <w:vAlign w:val="bottom"/>
            <w:tcBorders>
              <w:top w:val="single" w:sz="8" w:color="0000EE"/>
            </w:tcBorders>
          </w:tcPr>
          <w:p>
            <w:pPr>
              <w:spacing w:after="0"/>
              <w:rPr>
                <w:sz w:val="21"/>
                <w:szCs w:val="21"/>
                <w:color w:val="auto"/>
              </w:rPr>
            </w:pPr>
          </w:p>
        </w:tc>
        <w:tc>
          <w:tcPr>
            <w:tcW w:w="240" w:type="dxa"/>
            <w:vAlign w:val="bottom"/>
            <w:tcBorders>
              <w:top w:val="single" w:sz="8" w:color="0000EE"/>
            </w:tcBorders>
          </w:tcPr>
          <w:p>
            <w:pPr>
              <w:spacing w:after="0"/>
              <w:rPr>
                <w:sz w:val="21"/>
                <w:szCs w:val="21"/>
                <w:color w:val="auto"/>
              </w:rPr>
            </w:pPr>
          </w:p>
        </w:tc>
        <w:tc>
          <w:tcPr>
            <w:tcW w:w="240" w:type="dxa"/>
            <w:vAlign w:val="bottom"/>
            <w:tcBorders>
              <w:top w:val="single" w:sz="8" w:color="0000EE"/>
            </w:tcBorders>
          </w:tcPr>
          <w:p>
            <w:pPr>
              <w:spacing w:after="0"/>
              <w:rPr>
                <w:sz w:val="21"/>
                <w:szCs w:val="21"/>
                <w:color w:val="auto"/>
              </w:rPr>
            </w:pPr>
          </w:p>
        </w:tc>
        <w:tc>
          <w:tcPr>
            <w:tcW w:w="920" w:type="dxa"/>
            <w:vAlign w:val="bottom"/>
            <w:tcBorders>
              <w:top w:val="single" w:sz="8" w:color="0000EE"/>
            </w:tcBorders>
          </w:tcPr>
          <w:p>
            <w:pPr>
              <w:spacing w:after="0"/>
              <w:rPr>
                <w:sz w:val="21"/>
                <w:szCs w:val="21"/>
                <w:color w:val="auto"/>
              </w:rPr>
            </w:pPr>
          </w:p>
        </w:tc>
        <w:tc>
          <w:tcPr>
            <w:tcW w:w="160" w:type="dxa"/>
            <w:vAlign w:val="bottom"/>
            <w:tcBorders>
              <w:top w:val="single" w:sz="8" w:color="CCEEFF"/>
            </w:tcBorders>
          </w:tcPr>
          <w:p>
            <w:pPr>
              <w:spacing w:after="0"/>
              <w:rPr>
                <w:sz w:val="21"/>
                <w:szCs w:val="21"/>
                <w:color w:val="auto"/>
              </w:rPr>
            </w:pPr>
          </w:p>
        </w:tc>
        <w:tc>
          <w:tcPr>
            <w:tcW w:w="120" w:type="dxa"/>
            <w:vAlign w:val="bottom"/>
            <w:tcBorders>
              <w:top w:val="single" w:sz="8" w:color="CCEEFF"/>
            </w:tcBorders>
          </w:tcPr>
          <w:p>
            <w:pPr>
              <w:spacing w:after="0"/>
              <w:rPr>
                <w:sz w:val="21"/>
                <w:szCs w:val="21"/>
                <w:color w:val="auto"/>
              </w:rPr>
            </w:pPr>
          </w:p>
        </w:tc>
        <w:tc>
          <w:tcPr>
            <w:tcW w:w="440" w:type="dxa"/>
            <w:vAlign w:val="bottom"/>
            <w:tcBorders>
              <w:top w:val="single" w:sz="8" w:color="CCEEFF"/>
            </w:tcBorders>
          </w:tcPr>
          <w:p>
            <w:pPr>
              <w:spacing w:after="0"/>
              <w:rPr>
                <w:sz w:val="21"/>
                <w:szCs w:val="21"/>
                <w:color w:val="auto"/>
              </w:rPr>
            </w:pPr>
          </w:p>
        </w:tc>
        <w:tc>
          <w:tcPr>
            <w:tcW w:w="180" w:type="dxa"/>
            <w:vAlign w:val="bottom"/>
            <w:tcBorders>
              <w:top w:val="single" w:sz="8" w:color="CCEEFF"/>
            </w:tcBorders>
          </w:tcPr>
          <w:p>
            <w:pPr>
              <w:spacing w:after="0"/>
              <w:rPr>
                <w:sz w:val="21"/>
                <w:szCs w:val="21"/>
                <w:color w:val="auto"/>
              </w:rPr>
            </w:pPr>
          </w:p>
        </w:tc>
        <w:tc>
          <w:tcPr>
            <w:tcW w:w="60" w:type="dxa"/>
            <w:vAlign w:val="bottom"/>
            <w:tcBorders>
              <w:top w:val="single" w:sz="8" w:color="CCEEFF"/>
            </w:tcBorders>
          </w:tcPr>
          <w:p>
            <w:pPr>
              <w:spacing w:after="0"/>
              <w:rPr>
                <w:sz w:val="21"/>
                <w:szCs w:val="21"/>
                <w:color w:val="auto"/>
              </w:rPr>
            </w:pPr>
          </w:p>
        </w:tc>
        <w:tc>
          <w:tcPr>
            <w:tcW w:w="340" w:type="dxa"/>
            <w:vAlign w:val="bottom"/>
            <w:tcBorders>
              <w:top w:val="single" w:sz="8" w:color="CCEEFF"/>
            </w:tcBorders>
          </w:tcPr>
          <w:p>
            <w:pPr>
              <w:spacing w:after="0"/>
              <w:rPr>
                <w:sz w:val="21"/>
                <w:szCs w:val="21"/>
                <w:color w:val="auto"/>
              </w:rPr>
            </w:pPr>
          </w:p>
        </w:tc>
        <w:tc>
          <w:tcPr>
            <w:tcW w:w="80" w:type="dxa"/>
            <w:vAlign w:val="bottom"/>
            <w:tcBorders>
              <w:top w:val="single" w:sz="8" w:color="CCEEFF"/>
            </w:tcBorders>
          </w:tcPr>
          <w:p>
            <w:pPr>
              <w:spacing w:after="0"/>
              <w:rPr>
                <w:sz w:val="21"/>
                <w:szCs w:val="21"/>
                <w:color w:val="auto"/>
              </w:rPr>
            </w:pPr>
          </w:p>
        </w:tc>
        <w:tc>
          <w:tcPr>
            <w:tcW w:w="80" w:type="dxa"/>
            <w:vAlign w:val="bottom"/>
            <w:tcBorders>
              <w:top w:val="single" w:sz="8" w:color="CCEEFF"/>
            </w:tcBorders>
          </w:tcPr>
          <w:p>
            <w:pPr>
              <w:spacing w:after="0"/>
              <w:rPr>
                <w:sz w:val="21"/>
                <w:szCs w:val="21"/>
                <w:color w:val="auto"/>
              </w:rPr>
            </w:pPr>
          </w:p>
        </w:tc>
        <w:tc>
          <w:tcPr>
            <w:tcW w:w="60" w:type="dxa"/>
            <w:vAlign w:val="bottom"/>
            <w:tcBorders>
              <w:top w:val="single" w:sz="8" w:color="CCEEFF"/>
            </w:tcBorders>
          </w:tcPr>
          <w:p>
            <w:pPr>
              <w:spacing w:after="0"/>
              <w:rPr>
                <w:sz w:val="21"/>
                <w:szCs w:val="21"/>
                <w:color w:val="auto"/>
              </w:rPr>
            </w:pPr>
          </w:p>
        </w:tc>
        <w:tc>
          <w:tcPr>
            <w:tcW w:w="20" w:type="dxa"/>
            <w:vAlign w:val="bottom"/>
            <w:tcBorders>
              <w:top w:val="single" w:sz="8" w:color="CCEEFF"/>
            </w:tcBorders>
          </w:tcPr>
          <w:p>
            <w:pPr>
              <w:spacing w:after="0"/>
              <w:rPr>
                <w:sz w:val="21"/>
                <w:szCs w:val="21"/>
                <w:color w:val="auto"/>
              </w:rPr>
            </w:pPr>
          </w:p>
        </w:tc>
        <w:tc>
          <w:tcPr>
            <w:tcW w:w="20" w:type="dxa"/>
            <w:vAlign w:val="bottom"/>
            <w:tcBorders>
              <w:top w:val="single" w:sz="8" w:color="CCEEFF"/>
            </w:tcBorders>
          </w:tcPr>
          <w:p>
            <w:pPr>
              <w:spacing w:after="0"/>
              <w:rPr>
                <w:sz w:val="21"/>
                <w:szCs w:val="21"/>
                <w:color w:val="auto"/>
              </w:rPr>
            </w:pPr>
          </w:p>
        </w:tc>
        <w:tc>
          <w:tcPr>
            <w:tcW w:w="260" w:type="dxa"/>
            <w:vAlign w:val="bottom"/>
            <w:tcBorders>
              <w:top w:val="single" w:sz="8" w:color="CCEEFF"/>
            </w:tcBorders>
          </w:tcPr>
          <w:p>
            <w:pPr>
              <w:spacing w:after="0"/>
              <w:rPr>
                <w:sz w:val="21"/>
                <w:szCs w:val="21"/>
                <w:color w:val="auto"/>
              </w:rPr>
            </w:pPr>
          </w:p>
        </w:tc>
        <w:tc>
          <w:tcPr>
            <w:tcW w:w="80" w:type="dxa"/>
            <w:vAlign w:val="bottom"/>
            <w:tcBorders>
              <w:top w:val="single" w:sz="8" w:color="CCEEFF"/>
            </w:tcBorders>
          </w:tcPr>
          <w:p>
            <w:pPr>
              <w:spacing w:after="0"/>
              <w:rPr>
                <w:sz w:val="21"/>
                <w:szCs w:val="21"/>
                <w:color w:val="auto"/>
              </w:rPr>
            </w:pPr>
          </w:p>
        </w:tc>
        <w:tc>
          <w:tcPr>
            <w:tcW w:w="20" w:type="dxa"/>
            <w:vAlign w:val="bottom"/>
            <w:tcBorders>
              <w:top w:val="single" w:sz="8" w:color="CCEEFF"/>
            </w:tcBorders>
          </w:tcPr>
          <w:p>
            <w:pPr>
              <w:spacing w:after="0"/>
              <w:rPr>
                <w:sz w:val="21"/>
                <w:szCs w:val="21"/>
                <w:color w:val="auto"/>
              </w:rPr>
            </w:pPr>
          </w:p>
        </w:tc>
        <w:tc>
          <w:tcPr>
            <w:tcW w:w="380" w:type="dxa"/>
            <w:vAlign w:val="bottom"/>
            <w:tcBorders>
              <w:top w:val="single" w:sz="8" w:color="CCEEFF"/>
            </w:tcBorders>
          </w:tcPr>
          <w:p>
            <w:pPr>
              <w:spacing w:after="0"/>
              <w:rPr>
                <w:sz w:val="21"/>
                <w:szCs w:val="21"/>
                <w:color w:val="auto"/>
              </w:rPr>
            </w:pPr>
          </w:p>
        </w:tc>
        <w:tc>
          <w:tcPr>
            <w:tcW w:w="40" w:type="dxa"/>
            <w:vAlign w:val="bottom"/>
            <w:tcBorders>
              <w:top w:val="single" w:sz="8" w:color="CCEEFF"/>
            </w:tcBorders>
          </w:tcPr>
          <w:p>
            <w:pPr>
              <w:spacing w:after="0"/>
              <w:rPr>
                <w:sz w:val="21"/>
                <w:szCs w:val="21"/>
                <w:color w:val="auto"/>
              </w:rPr>
            </w:pPr>
          </w:p>
        </w:tc>
        <w:tc>
          <w:tcPr>
            <w:tcW w:w="80" w:type="dxa"/>
            <w:vAlign w:val="bottom"/>
            <w:tcBorders>
              <w:top w:val="single" w:sz="8" w:color="CCEEFF"/>
            </w:tcBorders>
          </w:tcPr>
          <w:p>
            <w:pPr>
              <w:spacing w:after="0"/>
              <w:rPr>
                <w:sz w:val="21"/>
                <w:szCs w:val="21"/>
                <w:color w:val="auto"/>
              </w:rPr>
            </w:pPr>
          </w:p>
        </w:tc>
        <w:tc>
          <w:tcPr>
            <w:tcW w:w="100" w:type="dxa"/>
            <w:vAlign w:val="bottom"/>
            <w:tcBorders>
              <w:top w:val="single" w:sz="8" w:color="CCEEFF"/>
            </w:tcBorders>
          </w:tcPr>
          <w:p>
            <w:pPr>
              <w:spacing w:after="0"/>
              <w:rPr>
                <w:sz w:val="21"/>
                <w:szCs w:val="21"/>
                <w:color w:val="auto"/>
              </w:rPr>
            </w:pPr>
          </w:p>
        </w:tc>
        <w:tc>
          <w:tcPr>
            <w:tcW w:w="1580" w:type="dxa"/>
            <w:vAlign w:val="bottom"/>
            <w:tcBorders>
              <w:top w:val="single" w:sz="8" w:color="CCEEFF"/>
            </w:tcBorders>
          </w:tcPr>
          <w:p>
            <w:pPr>
              <w:spacing w:after="0"/>
              <w:rPr>
                <w:sz w:val="21"/>
                <w:szCs w:val="21"/>
                <w:color w:val="auto"/>
              </w:rPr>
            </w:pPr>
          </w:p>
        </w:tc>
        <w:tc>
          <w:tcPr>
            <w:tcW w:w="1740" w:type="dxa"/>
            <w:vAlign w:val="bottom"/>
            <w:tcBorders>
              <w:top w:val="single" w:sz="8" w:color="CCEEFF"/>
            </w:tcBorders>
          </w:tcPr>
          <w:p>
            <w:pPr>
              <w:spacing w:after="0"/>
              <w:rPr>
                <w:sz w:val="21"/>
                <w:szCs w:val="21"/>
                <w:color w:val="auto"/>
              </w:rPr>
            </w:pPr>
          </w:p>
        </w:tc>
        <w:tc>
          <w:tcPr>
            <w:tcW w:w="380" w:type="dxa"/>
            <w:vAlign w:val="bottom"/>
            <w:tcBorders>
              <w:top w:val="single" w:sz="8" w:color="CCEEFF"/>
            </w:tcBorders>
          </w:tcPr>
          <w:p>
            <w:pPr>
              <w:spacing w:after="0"/>
              <w:rPr>
                <w:sz w:val="21"/>
                <w:szCs w:val="21"/>
                <w:color w:val="auto"/>
              </w:rPr>
            </w:pPr>
          </w:p>
        </w:tc>
        <w:tc>
          <w:tcPr>
            <w:tcW w:w="120" w:type="dxa"/>
            <w:vAlign w:val="bottom"/>
            <w:tcBorders>
              <w:top w:val="single" w:sz="8" w:color="CCEEFF"/>
            </w:tcBorders>
          </w:tcPr>
          <w:p>
            <w:pPr>
              <w:spacing w:after="0"/>
              <w:rPr>
                <w:sz w:val="21"/>
                <w:szCs w:val="21"/>
                <w:color w:val="auto"/>
              </w:rPr>
            </w:pPr>
          </w:p>
        </w:tc>
      </w:tr>
      <w:tr>
        <w:trPr>
          <w:trHeight w:val="210"/>
        </w:trPr>
        <w:tc>
          <w:tcPr>
            <w:tcW w:w="100" w:type="dxa"/>
            <w:vAlign w:val="bottom"/>
            <w:shd w:val="clear" w:color="auto" w:fill="CCEEFF"/>
          </w:tcPr>
          <w:p>
            <w:pPr>
              <w:spacing w:after="0"/>
              <w:rPr>
                <w:sz w:val="18"/>
                <w:szCs w:val="18"/>
                <w:color w:val="auto"/>
              </w:rPr>
            </w:pPr>
          </w:p>
        </w:tc>
        <w:tc>
          <w:tcPr>
            <w:tcW w:w="660" w:type="dxa"/>
            <w:vAlign w:val="bottom"/>
            <w:tcBorders>
              <w:right w:val="single" w:sz="8" w:color="CCEEFF"/>
            </w:tcBorders>
            <w:shd w:val="clear" w:color="auto" w:fill="CCEEFF"/>
          </w:tcPr>
          <w:p>
            <w:pPr>
              <w:spacing w:after="0" w:line="189" w:lineRule="exact"/>
              <w:rPr>
                <w:rFonts w:ascii="Arial" w:cs="Arial" w:eastAsia="Arial" w:hAnsi="Arial"/>
                <w:sz w:val="20"/>
                <w:szCs w:val="20"/>
                <w:color w:val="0000EE"/>
              </w:rPr>
            </w:pPr>
            <w:hyperlink w:anchor="page39">
              <w:r>
                <w:rPr>
                  <w:rFonts w:ascii="Arial" w:cs="Arial" w:eastAsia="Arial" w:hAnsi="Arial"/>
                  <w:sz w:val="20"/>
                  <w:szCs w:val="20"/>
                  <w:color w:val="0000EE"/>
                </w:rPr>
                <w:t>Item 3.</w:t>
              </w:r>
            </w:hyperlink>
          </w:p>
        </w:tc>
        <w:tc>
          <w:tcPr>
            <w:tcW w:w="8720" w:type="dxa"/>
            <w:vAlign w:val="bottom"/>
            <w:gridSpan w:val="28"/>
            <w:shd w:val="clear" w:color="auto" w:fill="CCEEFF"/>
          </w:tcPr>
          <w:p>
            <w:pPr>
              <w:spacing w:after="0" w:line="189" w:lineRule="exact"/>
              <w:rPr>
                <w:rFonts w:ascii="Arial" w:cs="Arial" w:eastAsia="Arial" w:hAnsi="Arial"/>
                <w:sz w:val="20"/>
                <w:szCs w:val="20"/>
                <w:color w:val="0000EE"/>
              </w:rPr>
            </w:pPr>
            <w:hyperlink w:anchor="page39">
              <w:r>
                <w:rPr>
                  <w:rFonts w:ascii="Arial" w:cs="Arial" w:eastAsia="Arial" w:hAnsi="Arial"/>
                  <w:sz w:val="20"/>
                  <w:szCs w:val="20"/>
                  <w:color w:val="0000EE"/>
                </w:rPr>
                <w:t>Quantitative and Qualitative Disclosures About Market Risk</w:t>
              </w:r>
            </w:hyperlink>
          </w:p>
        </w:tc>
        <w:tc>
          <w:tcPr>
            <w:tcW w:w="500" w:type="dxa"/>
            <w:vAlign w:val="bottom"/>
            <w:gridSpan w:val="2"/>
            <w:shd w:val="clear" w:color="auto" w:fill="CCEEFF"/>
          </w:tcPr>
          <w:p>
            <w:pPr>
              <w:jc w:val="right"/>
              <w:ind w:right="40"/>
              <w:spacing w:after="0" w:line="189" w:lineRule="exact"/>
              <w:rPr>
                <w:sz w:val="20"/>
                <w:szCs w:val="20"/>
                <w:color w:val="auto"/>
              </w:rPr>
            </w:pPr>
            <w:r>
              <w:rPr>
                <w:rFonts w:ascii="Arial" w:cs="Arial" w:eastAsia="Arial" w:hAnsi="Arial"/>
                <w:sz w:val="20"/>
                <w:szCs w:val="20"/>
                <w:color w:val="auto"/>
              </w:rPr>
              <w:t>37</w:t>
            </w:r>
          </w:p>
        </w:tc>
      </w:tr>
      <w:tr>
        <w:trPr>
          <w:trHeight w:val="243"/>
        </w:trPr>
        <w:tc>
          <w:tcPr>
            <w:tcW w:w="100" w:type="dxa"/>
            <w:vAlign w:val="bottom"/>
            <w:tcBorders>
              <w:top w:val="single" w:sz="8" w:color="CCEEFF"/>
            </w:tcBorders>
          </w:tcPr>
          <w:p>
            <w:pPr>
              <w:spacing w:after="0"/>
              <w:rPr>
                <w:sz w:val="21"/>
                <w:szCs w:val="21"/>
                <w:color w:val="auto"/>
              </w:rPr>
            </w:pPr>
          </w:p>
        </w:tc>
        <w:tc>
          <w:tcPr>
            <w:tcW w:w="660" w:type="dxa"/>
            <w:vAlign w:val="bottom"/>
            <w:tcBorders>
              <w:top w:val="single" w:sz="8" w:color="0000EE"/>
            </w:tcBorders>
          </w:tcPr>
          <w:p>
            <w:pPr>
              <w:spacing w:after="0"/>
              <w:rPr>
                <w:sz w:val="21"/>
                <w:szCs w:val="21"/>
                <w:color w:val="auto"/>
              </w:rPr>
            </w:pPr>
          </w:p>
        </w:tc>
        <w:tc>
          <w:tcPr>
            <w:tcW w:w="180" w:type="dxa"/>
            <w:vAlign w:val="bottom"/>
            <w:tcBorders>
              <w:top w:val="single" w:sz="8" w:color="0000EE"/>
            </w:tcBorders>
          </w:tcPr>
          <w:p>
            <w:pPr>
              <w:spacing w:after="0"/>
              <w:rPr>
                <w:sz w:val="21"/>
                <w:szCs w:val="21"/>
                <w:color w:val="auto"/>
              </w:rPr>
            </w:pPr>
          </w:p>
        </w:tc>
        <w:tc>
          <w:tcPr>
            <w:tcW w:w="140" w:type="dxa"/>
            <w:vAlign w:val="bottom"/>
            <w:tcBorders>
              <w:top w:val="single" w:sz="8" w:color="0000EE"/>
            </w:tcBorders>
          </w:tcPr>
          <w:p>
            <w:pPr>
              <w:spacing w:after="0"/>
              <w:rPr>
                <w:sz w:val="21"/>
                <w:szCs w:val="21"/>
                <w:color w:val="auto"/>
              </w:rPr>
            </w:pPr>
          </w:p>
        </w:tc>
        <w:tc>
          <w:tcPr>
            <w:tcW w:w="340" w:type="dxa"/>
            <w:vAlign w:val="bottom"/>
            <w:tcBorders>
              <w:top w:val="single" w:sz="8" w:color="0000EE"/>
            </w:tcBorders>
          </w:tcPr>
          <w:p>
            <w:pPr>
              <w:spacing w:after="0"/>
              <w:rPr>
                <w:sz w:val="21"/>
                <w:szCs w:val="21"/>
                <w:color w:val="auto"/>
              </w:rPr>
            </w:pPr>
          </w:p>
        </w:tc>
        <w:tc>
          <w:tcPr>
            <w:tcW w:w="480" w:type="dxa"/>
            <w:vAlign w:val="bottom"/>
            <w:tcBorders>
              <w:top w:val="single" w:sz="8" w:color="0000EE"/>
            </w:tcBorders>
          </w:tcPr>
          <w:p>
            <w:pPr>
              <w:spacing w:after="0"/>
              <w:rPr>
                <w:sz w:val="21"/>
                <w:szCs w:val="21"/>
                <w:color w:val="auto"/>
              </w:rPr>
            </w:pPr>
          </w:p>
        </w:tc>
        <w:tc>
          <w:tcPr>
            <w:tcW w:w="340" w:type="dxa"/>
            <w:vAlign w:val="bottom"/>
            <w:tcBorders>
              <w:top w:val="single" w:sz="8" w:color="0000EE"/>
            </w:tcBorders>
          </w:tcPr>
          <w:p>
            <w:pPr>
              <w:spacing w:after="0"/>
              <w:rPr>
                <w:sz w:val="21"/>
                <w:szCs w:val="21"/>
                <w:color w:val="auto"/>
              </w:rPr>
            </w:pPr>
          </w:p>
        </w:tc>
        <w:tc>
          <w:tcPr>
            <w:tcW w:w="240" w:type="dxa"/>
            <w:vAlign w:val="bottom"/>
            <w:tcBorders>
              <w:top w:val="single" w:sz="8" w:color="0000EE"/>
            </w:tcBorders>
          </w:tcPr>
          <w:p>
            <w:pPr>
              <w:spacing w:after="0"/>
              <w:rPr>
                <w:sz w:val="21"/>
                <w:szCs w:val="21"/>
                <w:color w:val="auto"/>
              </w:rPr>
            </w:pPr>
          </w:p>
        </w:tc>
        <w:tc>
          <w:tcPr>
            <w:tcW w:w="240" w:type="dxa"/>
            <w:vAlign w:val="bottom"/>
            <w:tcBorders>
              <w:top w:val="single" w:sz="8" w:color="0000EE"/>
            </w:tcBorders>
          </w:tcPr>
          <w:p>
            <w:pPr>
              <w:spacing w:after="0"/>
              <w:rPr>
                <w:sz w:val="21"/>
                <w:szCs w:val="21"/>
                <w:color w:val="auto"/>
              </w:rPr>
            </w:pPr>
          </w:p>
        </w:tc>
        <w:tc>
          <w:tcPr>
            <w:tcW w:w="920" w:type="dxa"/>
            <w:vAlign w:val="bottom"/>
            <w:tcBorders>
              <w:top w:val="single" w:sz="8" w:color="0000EE"/>
            </w:tcBorders>
          </w:tcPr>
          <w:p>
            <w:pPr>
              <w:spacing w:after="0"/>
              <w:rPr>
                <w:sz w:val="21"/>
                <w:szCs w:val="21"/>
                <w:color w:val="auto"/>
              </w:rPr>
            </w:pPr>
          </w:p>
        </w:tc>
        <w:tc>
          <w:tcPr>
            <w:tcW w:w="160" w:type="dxa"/>
            <w:vAlign w:val="bottom"/>
            <w:tcBorders>
              <w:top w:val="single" w:sz="8" w:color="0000EE"/>
            </w:tcBorders>
          </w:tcPr>
          <w:p>
            <w:pPr>
              <w:spacing w:after="0"/>
              <w:rPr>
                <w:sz w:val="21"/>
                <w:szCs w:val="21"/>
                <w:color w:val="auto"/>
              </w:rPr>
            </w:pPr>
          </w:p>
        </w:tc>
        <w:tc>
          <w:tcPr>
            <w:tcW w:w="120" w:type="dxa"/>
            <w:vAlign w:val="bottom"/>
            <w:tcBorders>
              <w:top w:val="single" w:sz="8" w:color="0000EE"/>
            </w:tcBorders>
          </w:tcPr>
          <w:p>
            <w:pPr>
              <w:spacing w:after="0"/>
              <w:rPr>
                <w:sz w:val="21"/>
                <w:szCs w:val="21"/>
                <w:color w:val="auto"/>
              </w:rPr>
            </w:pPr>
          </w:p>
        </w:tc>
        <w:tc>
          <w:tcPr>
            <w:tcW w:w="440" w:type="dxa"/>
            <w:vAlign w:val="bottom"/>
            <w:tcBorders>
              <w:top w:val="single" w:sz="8" w:color="0000EE"/>
            </w:tcBorders>
          </w:tcPr>
          <w:p>
            <w:pPr>
              <w:spacing w:after="0"/>
              <w:rPr>
                <w:sz w:val="21"/>
                <w:szCs w:val="21"/>
                <w:color w:val="auto"/>
              </w:rPr>
            </w:pPr>
          </w:p>
        </w:tc>
        <w:tc>
          <w:tcPr>
            <w:tcW w:w="180" w:type="dxa"/>
            <w:vAlign w:val="bottom"/>
            <w:tcBorders>
              <w:top w:val="single" w:sz="8" w:color="0000EE"/>
            </w:tcBorders>
          </w:tcPr>
          <w:p>
            <w:pPr>
              <w:spacing w:after="0"/>
              <w:rPr>
                <w:sz w:val="21"/>
                <w:szCs w:val="21"/>
                <w:color w:val="auto"/>
              </w:rPr>
            </w:pPr>
          </w:p>
        </w:tc>
        <w:tc>
          <w:tcPr>
            <w:tcW w:w="60" w:type="dxa"/>
            <w:vAlign w:val="bottom"/>
            <w:tcBorders>
              <w:top w:val="single" w:sz="8" w:color="0000EE"/>
            </w:tcBorders>
          </w:tcPr>
          <w:p>
            <w:pPr>
              <w:spacing w:after="0"/>
              <w:rPr>
                <w:sz w:val="21"/>
                <w:szCs w:val="21"/>
                <w:color w:val="auto"/>
              </w:rPr>
            </w:pPr>
          </w:p>
        </w:tc>
        <w:tc>
          <w:tcPr>
            <w:tcW w:w="340" w:type="dxa"/>
            <w:vAlign w:val="bottom"/>
            <w:tcBorders>
              <w:top w:val="single" w:sz="8" w:color="0000EE"/>
            </w:tcBorders>
          </w:tcPr>
          <w:p>
            <w:pPr>
              <w:spacing w:after="0"/>
              <w:rPr>
                <w:sz w:val="21"/>
                <w:szCs w:val="21"/>
                <w:color w:val="auto"/>
              </w:rPr>
            </w:pPr>
          </w:p>
        </w:tc>
        <w:tc>
          <w:tcPr>
            <w:tcW w:w="80" w:type="dxa"/>
            <w:vAlign w:val="bottom"/>
            <w:tcBorders>
              <w:top w:val="single" w:sz="8" w:color="0000EE"/>
            </w:tcBorders>
          </w:tcPr>
          <w:p>
            <w:pPr>
              <w:spacing w:after="0"/>
              <w:rPr>
                <w:sz w:val="21"/>
                <w:szCs w:val="21"/>
                <w:color w:val="auto"/>
              </w:rPr>
            </w:pPr>
          </w:p>
        </w:tc>
        <w:tc>
          <w:tcPr>
            <w:tcW w:w="80" w:type="dxa"/>
            <w:vAlign w:val="bottom"/>
            <w:tcBorders>
              <w:top w:val="single" w:sz="8" w:color="0000EE"/>
            </w:tcBorders>
          </w:tcPr>
          <w:p>
            <w:pPr>
              <w:spacing w:after="0"/>
              <w:rPr>
                <w:sz w:val="21"/>
                <w:szCs w:val="21"/>
                <w:color w:val="auto"/>
              </w:rPr>
            </w:pPr>
          </w:p>
        </w:tc>
        <w:tc>
          <w:tcPr>
            <w:tcW w:w="60" w:type="dxa"/>
            <w:vAlign w:val="bottom"/>
            <w:tcBorders>
              <w:top w:val="single" w:sz="8" w:color="0000EE"/>
            </w:tcBorders>
          </w:tcPr>
          <w:p>
            <w:pPr>
              <w:spacing w:after="0"/>
              <w:rPr>
                <w:sz w:val="21"/>
                <w:szCs w:val="21"/>
                <w:color w:val="auto"/>
              </w:rPr>
            </w:pPr>
          </w:p>
        </w:tc>
        <w:tc>
          <w:tcPr>
            <w:tcW w:w="20" w:type="dxa"/>
            <w:vAlign w:val="bottom"/>
            <w:tcBorders>
              <w:top w:val="single" w:sz="8" w:color="0000EE"/>
            </w:tcBorders>
          </w:tcPr>
          <w:p>
            <w:pPr>
              <w:spacing w:after="0"/>
              <w:rPr>
                <w:sz w:val="21"/>
                <w:szCs w:val="21"/>
                <w:color w:val="auto"/>
              </w:rPr>
            </w:pPr>
          </w:p>
        </w:tc>
        <w:tc>
          <w:tcPr>
            <w:tcW w:w="20" w:type="dxa"/>
            <w:vAlign w:val="bottom"/>
            <w:tcBorders>
              <w:top w:val="single" w:sz="8" w:color="0000EE"/>
            </w:tcBorders>
          </w:tcPr>
          <w:p>
            <w:pPr>
              <w:spacing w:after="0"/>
              <w:rPr>
                <w:sz w:val="21"/>
                <w:szCs w:val="21"/>
                <w:color w:val="auto"/>
              </w:rPr>
            </w:pPr>
          </w:p>
        </w:tc>
        <w:tc>
          <w:tcPr>
            <w:tcW w:w="260" w:type="dxa"/>
            <w:vAlign w:val="bottom"/>
            <w:tcBorders>
              <w:top w:val="single" w:sz="8" w:color="0000EE"/>
            </w:tcBorders>
          </w:tcPr>
          <w:p>
            <w:pPr>
              <w:spacing w:after="0"/>
              <w:rPr>
                <w:sz w:val="21"/>
                <w:szCs w:val="21"/>
                <w:color w:val="auto"/>
              </w:rPr>
            </w:pPr>
          </w:p>
        </w:tc>
        <w:tc>
          <w:tcPr>
            <w:tcW w:w="80" w:type="dxa"/>
            <w:vAlign w:val="bottom"/>
            <w:tcBorders>
              <w:top w:val="single" w:sz="8" w:color="0000EE"/>
            </w:tcBorders>
          </w:tcPr>
          <w:p>
            <w:pPr>
              <w:spacing w:after="0"/>
              <w:rPr>
                <w:sz w:val="21"/>
                <w:szCs w:val="21"/>
                <w:color w:val="auto"/>
              </w:rPr>
            </w:pPr>
          </w:p>
        </w:tc>
        <w:tc>
          <w:tcPr>
            <w:tcW w:w="20" w:type="dxa"/>
            <w:vAlign w:val="bottom"/>
            <w:tcBorders>
              <w:top w:val="single" w:sz="8" w:color="0000EE"/>
            </w:tcBorders>
          </w:tcPr>
          <w:p>
            <w:pPr>
              <w:spacing w:after="0"/>
              <w:rPr>
                <w:sz w:val="21"/>
                <w:szCs w:val="21"/>
                <w:color w:val="auto"/>
              </w:rPr>
            </w:pPr>
          </w:p>
        </w:tc>
        <w:tc>
          <w:tcPr>
            <w:tcW w:w="380" w:type="dxa"/>
            <w:vAlign w:val="bottom"/>
            <w:tcBorders>
              <w:top w:val="single" w:sz="8" w:color="CCEEFF"/>
            </w:tcBorders>
          </w:tcPr>
          <w:p>
            <w:pPr>
              <w:spacing w:after="0"/>
              <w:rPr>
                <w:sz w:val="21"/>
                <w:szCs w:val="21"/>
                <w:color w:val="auto"/>
              </w:rPr>
            </w:pPr>
          </w:p>
        </w:tc>
        <w:tc>
          <w:tcPr>
            <w:tcW w:w="40" w:type="dxa"/>
            <w:vAlign w:val="bottom"/>
            <w:tcBorders>
              <w:top w:val="single" w:sz="8" w:color="CCEEFF"/>
            </w:tcBorders>
          </w:tcPr>
          <w:p>
            <w:pPr>
              <w:spacing w:after="0"/>
              <w:rPr>
                <w:sz w:val="21"/>
                <w:szCs w:val="21"/>
                <w:color w:val="auto"/>
              </w:rPr>
            </w:pPr>
          </w:p>
        </w:tc>
        <w:tc>
          <w:tcPr>
            <w:tcW w:w="80" w:type="dxa"/>
            <w:vAlign w:val="bottom"/>
            <w:tcBorders>
              <w:top w:val="single" w:sz="8" w:color="CCEEFF"/>
            </w:tcBorders>
          </w:tcPr>
          <w:p>
            <w:pPr>
              <w:spacing w:after="0"/>
              <w:rPr>
                <w:sz w:val="21"/>
                <w:szCs w:val="21"/>
                <w:color w:val="auto"/>
              </w:rPr>
            </w:pPr>
          </w:p>
        </w:tc>
        <w:tc>
          <w:tcPr>
            <w:tcW w:w="100" w:type="dxa"/>
            <w:vAlign w:val="bottom"/>
            <w:tcBorders>
              <w:top w:val="single" w:sz="8" w:color="CCEEFF"/>
            </w:tcBorders>
          </w:tcPr>
          <w:p>
            <w:pPr>
              <w:spacing w:after="0"/>
              <w:rPr>
                <w:sz w:val="21"/>
                <w:szCs w:val="21"/>
                <w:color w:val="auto"/>
              </w:rPr>
            </w:pPr>
          </w:p>
        </w:tc>
        <w:tc>
          <w:tcPr>
            <w:tcW w:w="1580" w:type="dxa"/>
            <w:vAlign w:val="bottom"/>
            <w:tcBorders>
              <w:top w:val="single" w:sz="8" w:color="CCEEFF"/>
            </w:tcBorders>
          </w:tcPr>
          <w:p>
            <w:pPr>
              <w:spacing w:after="0"/>
              <w:rPr>
                <w:sz w:val="21"/>
                <w:szCs w:val="21"/>
                <w:color w:val="auto"/>
              </w:rPr>
            </w:pPr>
          </w:p>
        </w:tc>
        <w:tc>
          <w:tcPr>
            <w:tcW w:w="1740" w:type="dxa"/>
            <w:vAlign w:val="bottom"/>
            <w:tcBorders>
              <w:top w:val="single" w:sz="8" w:color="CCEEFF"/>
            </w:tcBorders>
          </w:tcPr>
          <w:p>
            <w:pPr>
              <w:spacing w:after="0"/>
              <w:rPr>
                <w:sz w:val="21"/>
                <w:szCs w:val="21"/>
                <w:color w:val="auto"/>
              </w:rPr>
            </w:pPr>
          </w:p>
        </w:tc>
        <w:tc>
          <w:tcPr>
            <w:tcW w:w="380" w:type="dxa"/>
            <w:vAlign w:val="bottom"/>
            <w:tcBorders>
              <w:top w:val="single" w:sz="8" w:color="CCEEFF"/>
            </w:tcBorders>
          </w:tcPr>
          <w:p>
            <w:pPr>
              <w:spacing w:after="0"/>
              <w:rPr>
                <w:sz w:val="21"/>
                <w:szCs w:val="21"/>
                <w:color w:val="auto"/>
              </w:rPr>
            </w:pPr>
          </w:p>
        </w:tc>
        <w:tc>
          <w:tcPr>
            <w:tcW w:w="120" w:type="dxa"/>
            <w:vAlign w:val="bottom"/>
            <w:tcBorders>
              <w:top w:val="single" w:sz="8" w:color="CCEEFF"/>
            </w:tcBorders>
          </w:tcPr>
          <w:p>
            <w:pPr>
              <w:spacing w:after="0"/>
              <w:rPr>
                <w:sz w:val="21"/>
                <w:szCs w:val="21"/>
                <w:color w:val="auto"/>
              </w:rPr>
            </w:pPr>
          </w:p>
        </w:tc>
      </w:tr>
      <w:tr>
        <w:trPr>
          <w:trHeight w:val="210"/>
        </w:trPr>
        <w:tc>
          <w:tcPr>
            <w:tcW w:w="100" w:type="dxa"/>
            <w:vAlign w:val="bottom"/>
            <w:shd w:val="clear" w:color="auto" w:fill="CCEEFF"/>
          </w:tcPr>
          <w:p>
            <w:pPr>
              <w:spacing w:after="0"/>
              <w:rPr>
                <w:sz w:val="18"/>
                <w:szCs w:val="18"/>
                <w:color w:val="auto"/>
              </w:rPr>
            </w:pPr>
          </w:p>
        </w:tc>
        <w:tc>
          <w:tcPr>
            <w:tcW w:w="660" w:type="dxa"/>
            <w:vAlign w:val="bottom"/>
            <w:tcBorders>
              <w:right w:val="single" w:sz="8" w:color="CCEEFF"/>
            </w:tcBorders>
            <w:shd w:val="clear" w:color="auto" w:fill="CCEEFF"/>
          </w:tcPr>
          <w:p>
            <w:pPr>
              <w:spacing w:after="0" w:line="189" w:lineRule="exact"/>
              <w:rPr>
                <w:rFonts w:ascii="Arial" w:cs="Arial" w:eastAsia="Arial" w:hAnsi="Arial"/>
                <w:sz w:val="20"/>
                <w:szCs w:val="20"/>
                <w:color w:val="0000EE"/>
              </w:rPr>
            </w:pPr>
            <w:hyperlink w:anchor="page39">
              <w:r>
                <w:rPr>
                  <w:rFonts w:ascii="Arial" w:cs="Arial" w:eastAsia="Arial" w:hAnsi="Arial"/>
                  <w:sz w:val="20"/>
                  <w:szCs w:val="20"/>
                  <w:color w:val="0000EE"/>
                </w:rPr>
                <w:t>Item 4.</w:t>
              </w:r>
            </w:hyperlink>
          </w:p>
        </w:tc>
        <w:tc>
          <w:tcPr>
            <w:tcW w:w="8720" w:type="dxa"/>
            <w:vAlign w:val="bottom"/>
            <w:gridSpan w:val="28"/>
            <w:shd w:val="clear" w:color="auto" w:fill="CCEEFF"/>
          </w:tcPr>
          <w:p>
            <w:pPr>
              <w:spacing w:after="0" w:line="189" w:lineRule="exact"/>
              <w:rPr>
                <w:rFonts w:ascii="Arial" w:cs="Arial" w:eastAsia="Arial" w:hAnsi="Arial"/>
                <w:sz w:val="20"/>
                <w:szCs w:val="20"/>
                <w:color w:val="0000EE"/>
              </w:rPr>
            </w:pPr>
            <w:hyperlink w:anchor="page39">
              <w:r>
                <w:rPr>
                  <w:rFonts w:ascii="Arial" w:cs="Arial" w:eastAsia="Arial" w:hAnsi="Arial"/>
                  <w:sz w:val="20"/>
                  <w:szCs w:val="20"/>
                  <w:color w:val="0000EE"/>
                </w:rPr>
                <w:t>Controls and Procedures</w:t>
              </w:r>
            </w:hyperlink>
          </w:p>
        </w:tc>
        <w:tc>
          <w:tcPr>
            <w:tcW w:w="500" w:type="dxa"/>
            <w:vAlign w:val="bottom"/>
            <w:gridSpan w:val="2"/>
            <w:shd w:val="clear" w:color="auto" w:fill="CCEEFF"/>
          </w:tcPr>
          <w:p>
            <w:pPr>
              <w:jc w:val="right"/>
              <w:ind w:right="40"/>
              <w:spacing w:after="0" w:line="189" w:lineRule="exact"/>
              <w:rPr>
                <w:sz w:val="20"/>
                <w:szCs w:val="20"/>
                <w:color w:val="auto"/>
              </w:rPr>
            </w:pPr>
            <w:r>
              <w:rPr>
                <w:rFonts w:ascii="Arial" w:cs="Arial" w:eastAsia="Arial" w:hAnsi="Arial"/>
                <w:sz w:val="20"/>
                <w:szCs w:val="20"/>
                <w:color w:val="auto"/>
              </w:rPr>
              <w:t>37</w:t>
            </w:r>
          </w:p>
        </w:tc>
      </w:tr>
      <w:tr>
        <w:trPr>
          <w:trHeight w:val="230"/>
        </w:trPr>
        <w:tc>
          <w:tcPr>
            <w:tcW w:w="100" w:type="dxa"/>
            <w:vAlign w:val="bottom"/>
            <w:tcBorders>
              <w:top w:val="single" w:sz="8" w:color="CCEEFF"/>
            </w:tcBorders>
          </w:tcPr>
          <w:p>
            <w:pPr>
              <w:spacing w:after="0"/>
              <w:rPr>
                <w:sz w:val="19"/>
                <w:szCs w:val="19"/>
                <w:color w:val="auto"/>
              </w:rPr>
            </w:pPr>
          </w:p>
        </w:tc>
        <w:tc>
          <w:tcPr>
            <w:tcW w:w="660" w:type="dxa"/>
            <w:vAlign w:val="bottom"/>
            <w:tcBorders>
              <w:top w:val="single" w:sz="8" w:color="0000EE"/>
            </w:tcBorders>
          </w:tcPr>
          <w:p>
            <w:pPr>
              <w:spacing w:after="0"/>
              <w:rPr>
                <w:sz w:val="19"/>
                <w:szCs w:val="19"/>
                <w:color w:val="auto"/>
              </w:rPr>
            </w:pPr>
          </w:p>
        </w:tc>
        <w:tc>
          <w:tcPr>
            <w:tcW w:w="180" w:type="dxa"/>
            <w:vAlign w:val="bottom"/>
            <w:tcBorders>
              <w:top w:val="single" w:sz="8" w:color="0000EE"/>
            </w:tcBorders>
          </w:tcPr>
          <w:p>
            <w:pPr>
              <w:spacing w:after="0"/>
              <w:rPr>
                <w:sz w:val="19"/>
                <w:szCs w:val="19"/>
                <w:color w:val="auto"/>
              </w:rPr>
            </w:pPr>
          </w:p>
        </w:tc>
        <w:tc>
          <w:tcPr>
            <w:tcW w:w="140" w:type="dxa"/>
            <w:vAlign w:val="bottom"/>
            <w:tcBorders>
              <w:top w:val="single" w:sz="8" w:color="0000EE"/>
            </w:tcBorders>
          </w:tcPr>
          <w:p>
            <w:pPr>
              <w:spacing w:after="0"/>
              <w:rPr>
                <w:sz w:val="19"/>
                <w:szCs w:val="19"/>
                <w:color w:val="auto"/>
              </w:rPr>
            </w:pPr>
          </w:p>
        </w:tc>
        <w:tc>
          <w:tcPr>
            <w:tcW w:w="340" w:type="dxa"/>
            <w:vAlign w:val="bottom"/>
            <w:tcBorders>
              <w:top w:val="single" w:sz="8" w:color="0000EE"/>
            </w:tcBorders>
          </w:tcPr>
          <w:p>
            <w:pPr>
              <w:spacing w:after="0"/>
              <w:rPr>
                <w:sz w:val="19"/>
                <w:szCs w:val="19"/>
                <w:color w:val="auto"/>
              </w:rPr>
            </w:pPr>
          </w:p>
        </w:tc>
        <w:tc>
          <w:tcPr>
            <w:tcW w:w="480" w:type="dxa"/>
            <w:vAlign w:val="bottom"/>
            <w:tcBorders>
              <w:top w:val="single" w:sz="8" w:color="0000EE"/>
            </w:tcBorders>
          </w:tcPr>
          <w:p>
            <w:pPr>
              <w:spacing w:after="0"/>
              <w:rPr>
                <w:sz w:val="19"/>
                <w:szCs w:val="19"/>
                <w:color w:val="auto"/>
              </w:rPr>
            </w:pPr>
          </w:p>
        </w:tc>
        <w:tc>
          <w:tcPr>
            <w:tcW w:w="340" w:type="dxa"/>
            <w:vAlign w:val="bottom"/>
            <w:tcBorders>
              <w:top w:val="single" w:sz="8" w:color="0000EE"/>
            </w:tcBorders>
          </w:tcPr>
          <w:p>
            <w:pPr>
              <w:spacing w:after="0"/>
              <w:rPr>
                <w:sz w:val="19"/>
                <w:szCs w:val="19"/>
                <w:color w:val="auto"/>
              </w:rPr>
            </w:pPr>
          </w:p>
        </w:tc>
        <w:tc>
          <w:tcPr>
            <w:tcW w:w="240" w:type="dxa"/>
            <w:vAlign w:val="bottom"/>
            <w:tcBorders>
              <w:top w:val="single" w:sz="8" w:color="0000EE"/>
            </w:tcBorders>
          </w:tcPr>
          <w:p>
            <w:pPr>
              <w:spacing w:after="0"/>
              <w:rPr>
                <w:sz w:val="19"/>
                <w:szCs w:val="19"/>
                <w:color w:val="auto"/>
              </w:rPr>
            </w:pPr>
          </w:p>
        </w:tc>
        <w:tc>
          <w:tcPr>
            <w:tcW w:w="240" w:type="dxa"/>
            <w:vAlign w:val="bottom"/>
            <w:tcBorders>
              <w:top w:val="single" w:sz="8" w:color="0000EE"/>
            </w:tcBorders>
          </w:tcPr>
          <w:p>
            <w:pPr>
              <w:spacing w:after="0"/>
              <w:rPr>
                <w:sz w:val="19"/>
                <w:szCs w:val="19"/>
                <w:color w:val="auto"/>
              </w:rPr>
            </w:pPr>
          </w:p>
        </w:tc>
        <w:tc>
          <w:tcPr>
            <w:tcW w:w="920" w:type="dxa"/>
            <w:vAlign w:val="bottom"/>
            <w:tcBorders>
              <w:top w:val="single" w:sz="8" w:color="CCEEFF"/>
            </w:tcBorders>
          </w:tcPr>
          <w:p>
            <w:pPr>
              <w:spacing w:after="0"/>
              <w:rPr>
                <w:sz w:val="19"/>
                <w:szCs w:val="19"/>
                <w:color w:val="auto"/>
              </w:rPr>
            </w:pPr>
          </w:p>
        </w:tc>
        <w:tc>
          <w:tcPr>
            <w:tcW w:w="16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440" w:type="dxa"/>
            <w:vAlign w:val="bottom"/>
            <w:tcBorders>
              <w:top w:val="single" w:sz="8" w:color="CCEEFF"/>
            </w:tcBorders>
          </w:tcPr>
          <w:p>
            <w:pPr>
              <w:spacing w:after="0"/>
              <w:rPr>
                <w:sz w:val="19"/>
                <w:szCs w:val="19"/>
                <w:color w:val="auto"/>
              </w:rPr>
            </w:pPr>
          </w:p>
        </w:tc>
        <w:tc>
          <w:tcPr>
            <w:tcW w:w="180" w:type="dxa"/>
            <w:vAlign w:val="bottom"/>
            <w:tcBorders>
              <w:top w:val="single" w:sz="8" w:color="CCEEFF"/>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34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26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38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1580" w:type="dxa"/>
            <w:vAlign w:val="bottom"/>
            <w:tcBorders>
              <w:top w:val="single" w:sz="8" w:color="CCEEFF"/>
            </w:tcBorders>
          </w:tcPr>
          <w:p>
            <w:pPr>
              <w:spacing w:after="0"/>
              <w:rPr>
                <w:sz w:val="19"/>
                <w:szCs w:val="19"/>
                <w:color w:val="auto"/>
              </w:rPr>
            </w:pPr>
          </w:p>
        </w:tc>
        <w:tc>
          <w:tcPr>
            <w:tcW w:w="1740" w:type="dxa"/>
            <w:vAlign w:val="bottom"/>
            <w:tcBorders>
              <w:top w:val="single" w:sz="8" w:color="CCEEFF"/>
            </w:tcBorders>
          </w:tcPr>
          <w:p>
            <w:pPr>
              <w:spacing w:after="0"/>
              <w:rPr>
                <w:sz w:val="19"/>
                <w:szCs w:val="19"/>
                <w:color w:val="auto"/>
              </w:rPr>
            </w:pPr>
          </w:p>
        </w:tc>
        <w:tc>
          <w:tcPr>
            <w:tcW w:w="38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r>
      <w:tr>
        <w:trPr>
          <w:trHeight w:val="210"/>
        </w:trPr>
        <w:tc>
          <w:tcPr>
            <w:tcW w:w="100" w:type="dxa"/>
            <w:vAlign w:val="bottom"/>
            <w:shd w:val="clear" w:color="auto" w:fill="CCEEFF"/>
          </w:tcPr>
          <w:p>
            <w:pPr>
              <w:spacing w:after="0"/>
              <w:rPr>
                <w:sz w:val="18"/>
                <w:szCs w:val="18"/>
                <w:color w:val="auto"/>
              </w:rPr>
            </w:pPr>
          </w:p>
        </w:tc>
        <w:tc>
          <w:tcPr>
            <w:tcW w:w="66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80" w:type="dxa"/>
            <w:vAlign w:val="bottom"/>
            <w:gridSpan w:val="19"/>
            <w:shd w:val="clear" w:color="auto" w:fill="CCEEFF"/>
          </w:tcPr>
          <w:p>
            <w:pPr>
              <w:jc w:val="center"/>
              <w:ind w:right="3300"/>
              <w:spacing w:after="0" w:line="189" w:lineRule="exact"/>
              <w:rPr>
                <w:rFonts w:ascii="Arial" w:cs="Arial" w:eastAsia="Arial" w:hAnsi="Arial"/>
                <w:sz w:val="20"/>
                <w:szCs w:val="20"/>
                <w:color w:val="0000EE"/>
                <w:w w:val="92"/>
              </w:rPr>
            </w:pPr>
            <w:hyperlink w:anchor="page39">
              <w:r>
                <w:rPr>
                  <w:rFonts w:ascii="Arial" w:cs="Arial" w:eastAsia="Arial" w:hAnsi="Arial"/>
                  <w:sz w:val="20"/>
                  <w:szCs w:val="20"/>
                  <w:color w:val="0000EE"/>
                  <w:w w:val="92"/>
                </w:rPr>
                <w:t>Part II – Other Information</w:t>
              </w:r>
            </w:hyperlink>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43"/>
        </w:trPr>
        <w:tc>
          <w:tcPr>
            <w:tcW w:w="100" w:type="dxa"/>
            <w:vAlign w:val="bottom"/>
            <w:tcBorders>
              <w:top w:val="single" w:sz="8" w:color="CCEEFF"/>
            </w:tcBorders>
          </w:tcPr>
          <w:p>
            <w:pPr>
              <w:spacing w:after="0"/>
              <w:rPr>
                <w:sz w:val="21"/>
                <w:szCs w:val="21"/>
                <w:color w:val="auto"/>
              </w:rPr>
            </w:pPr>
          </w:p>
        </w:tc>
        <w:tc>
          <w:tcPr>
            <w:tcW w:w="660" w:type="dxa"/>
            <w:vAlign w:val="bottom"/>
            <w:tcBorders>
              <w:top w:val="single" w:sz="8" w:color="CCEEFF"/>
            </w:tcBorders>
          </w:tcPr>
          <w:p>
            <w:pPr>
              <w:spacing w:after="0"/>
              <w:rPr>
                <w:sz w:val="21"/>
                <w:szCs w:val="21"/>
                <w:color w:val="auto"/>
              </w:rPr>
            </w:pPr>
          </w:p>
        </w:tc>
        <w:tc>
          <w:tcPr>
            <w:tcW w:w="180" w:type="dxa"/>
            <w:vAlign w:val="bottom"/>
            <w:tcBorders>
              <w:top w:val="single" w:sz="8" w:color="CCEEFF"/>
            </w:tcBorders>
          </w:tcPr>
          <w:p>
            <w:pPr>
              <w:spacing w:after="0"/>
              <w:rPr>
                <w:sz w:val="21"/>
                <w:szCs w:val="21"/>
                <w:color w:val="auto"/>
              </w:rPr>
            </w:pPr>
          </w:p>
        </w:tc>
        <w:tc>
          <w:tcPr>
            <w:tcW w:w="140" w:type="dxa"/>
            <w:vAlign w:val="bottom"/>
            <w:tcBorders>
              <w:top w:val="single" w:sz="8" w:color="CCEEFF"/>
            </w:tcBorders>
          </w:tcPr>
          <w:p>
            <w:pPr>
              <w:spacing w:after="0"/>
              <w:rPr>
                <w:sz w:val="21"/>
                <w:szCs w:val="21"/>
                <w:color w:val="auto"/>
              </w:rPr>
            </w:pPr>
          </w:p>
        </w:tc>
        <w:tc>
          <w:tcPr>
            <w:tcW w:w="340" w:type="dxa"/>
            <w:vAlign w:val="bottom"/>
            <w:tcBorders>
              <w:top w:val="single" w:sz="8" w:color="CCEEFF"/>
            </w:tcBorders>
          </w:tcPr>
          <w:p>
            <w:pPr>
              <w:spacing w:after="0"/>
              <w:rPr>
                <w:sz w:val="21"/>
                <w:szCs w:val="21"/>
                <w:color w:val="auto"/>
              </w:rPr>
            </w:pPr>
          </w:p>
        </w:tc>
        <w:tc>
          <w:tcPr>
            <w:tcW w:w="480" w:type="dxa"/>
            <w:vAlign w:val="bottom"/>
            <w:tcBorders>
              <w:top w:val="single" w:sz="8" w:color="CCEEFF"/>
            </w:tcBorders>
          </w:tcPr>
          <w:p>
            <w:pPr>
              <w:spacing w:after="0"/>
              <w:rPr>
                <w:sz w:val="21"/>
                <w:szCs w:val="21"/>
                <w:color w:val="auto"/>
              </w:rPr>
            </w:pPr>
          </w:p>
        </w:tc>
        <w:tc>
          <w:tcPr>
            <w:tcW w:w="340" w:type="dxa"/>
            <w:vAlign w:val="bottom"/>
            <w:tcBorders>
              <w:top w:val="single" w:sz="8" w:color="CCEEFF"/>
            </w:tcBorders>
          </w:tcPr>
          <w:p>
            <w:pPr>
              <w:spacing w:after="0"/>
              <w:rPr>
                <w:sz w:val="21"/>
                <w:szCs w:val="21"/>
                <w:color w:val="auto"/>
              </w:rPr>
            </w:pPr>
          </w:p>
        </w:tc>
        <w:tc>
          <w:tcPr>
            <w:tcW w:w="240" w:type="dxa"/>
            <w:vAlign w:val="bottom"/>
            <w:tcBorders>
              <w:top w:val="single" w:sz="8" w:color="CCEEFF"/>
            </w:tcBorders>
          </w:tcPr>
          <w:p>
            <w:pPr>
              <w:spacing w:after="0"/>
              <w:rPr>
                <w:sz w:val="21"/>
                <w:szCs w:val="21"/>
                <w:color w:val="auto"/>
              </w:rPr>
            </w:pPr>
          </w:p>
        </w:tc>
        <w:tc>
          <w:tcPr>
            <w:tcW w:w="240" w:type="dxa"/>
            <w:vAlign w:val="bottom"/>
            <w:tcBorders>
              <w:top w:val="single" w:sz="8" w:color="CCEEFF"/>
            </w:tcBorders>
          </w:tcPr>
          <w:p>
            <w:pPr>
              <w:spacing w:after="0"/>
              <w:rPr>
                <w:sz w:val="21"/>
                <w:szCs w:val="21"/>
                <w:color w:val="auto"/>
              </w:rPr>
            </w:pPr>
          </w:p>
        </w:tc>
        <w:tc>
          <w:tcPr>
            <w:tcW w:w="920" w:type="dxa"/>
            <w:vAlign w:val="bottom"/>
            <w:tcBorders>
              <w:top w:val="single" w:sz="8" w:color="CCEEFF"/>
            </w:tcBorders>
          </w:tcPr>
          <w:p>
            <w:pPr>
              <w:spacing w:after="0"/>
              <w:rPr>
                <w:sz w:val="21"/>
                <w:szCs w:val="21"/>
                <w:color w:val="auto"/>
              </w:rPr>
            </w:pPr>
          </w:p>
        </w:tc>
        <w:tc>
          <w:tcPr>
            <w:tcW w:w="160" w:type="dxa"/>
            <w:vAlign w:val="bottom"/>
            <w:tcBorders>
              <w:top w:val="single" w:sz="8" w:color="CCEEFF"/>
            </w:tcBorders>
          </w:tcPr>
          <w:p>
            <w:pPr>
              <w:spacing w:after="0"/>
              <w:rPr>
                <w:sz w:val="21"/>
                <w:szCs w:val="21"/>
                <w:color w:val="auto"/>
              </w:rPr>
            </w:pPr>
          </w:p>
        </w:tc>
        <w:tc>
          <w:tcPr>
            <w:tcW w:w="120" w:type="dxa"/>
            <w:vAlign w:val="bottom"/>
            <w:tcBorders>
              <w:top w:val="single" w:sz="8" w:color="CCEEFF"/>
            </w:tcBorders>
          </w:tcPr>
          <w:p>
            <w:pPr>
              <w:spacing w:after="0"/>
              <w:rPr>
                <w:sz w:val="21"/>
                <w:szCs w:val="21"/>
                <w:color w:val="auto"/>
              </w:rPr>
            </w:pPr>
          </w:p>
        </w:tc>
        <w:tc>
          <w:tcPr>
            <w:tcW w:w="440" w:type="dxa"/>
            <w:vAlign w:val="bottom"/>
            <w:tcBorders>
              <w:top w:val="single" w:sz="8" w:color="0000EE"/>
            </w:tcBorders>
          </w:tcPr>
          <w:p>
            <w:pPr>
              <w:spacing w:after="0"/>
              <w:rPr>
                <w:sz w:val="21"/>
                <w:szCs w:val="21"/>
                <w:color w:val="auto"/>
              </w:rPr>
            </w:pPr>
          </w:p>
        </w:tc>
        <w:tc>
          <w:tcPr>
            <w:tcW w:w="180" w:type="dxa"/>
            <w:vAlign w:val="bottom"/>
            <w:tcBorders>
              <w:top w:val="single" w:sz="8" w:color="0000EE"/>
            </w:tcBorders>
          </w:tcPr>
          <w:p>
            <w:pPr>
              <w:spacing w:after="0"/>
              <w:rPr>
                <w:sz w:val="21"/>
                <w:szCs w:val="21"/>
                <w:color w:val="auto"/>
              </w:rPr>
            </w:pPr>
          </w:p>
        </w:tc>
        <w:tc>
          <w:tcPr>
            <w:tcW w:w="60" w:type="dxa"/>
            <w:vAlign w:val="bottom"/>
            <w:tcBorders>
              <w:top w:val="single" w:sz="8" w:color="0000EE"/>
            </w:tcBorders>
          </w:tcPr>
          <w:p>
            <w:pPr>
              <w:spacing w:after="0"/>
              <w:rPr>
                <w:sz w:val="21"/>
                <w:szCs w:val="21"/>
                <w:color w:val="auto"/>
              </w:rPr>
            </w:pPr>
          </w:p>
        </w:tc>
        <w:tc>
          <w:tcPr>
            <w:tcW w:w="340" w:type="dxa"/>
            <w:vAlign w:val="bottom"/>
            <w:tcBorders>
              <w:top w:val="single" w:sz="8" w:color="0000EE"/>
            </w:tcBorders>
          </w:tcPr>
          <w:p>
            <w:pPr>
              <w:spacing w:after="0"/>
              <w:rPr>
                <w:sz w:val="21"/>
                <w:szCs w:val="21"/>
                <w:color w:val="auto"/>
              </w:rPr>
            </w:pPr>
          </w:p>
        </w:tc>
        <w:tc>
          <w:tcPr>
            <w:tcW w:w="80" w:type="dxa"/>
            <w:vAlign w:val="bottom"/>
            <w:tcBorders>
              <w:top w:val="single" w:sz="8" w:color="0000EE"/>
            </w:tcBorders>
          </w:tcPr>
          <w:p>
            <w:pPr>
              <w:spacing w:after="0"/>
              <w:rPr>
                <w:sz w:val="21"/>
                <w:szCs w:val="21"/>
                <w:color w:val="auto"/>
              </w:rPr>
            </w:pPr>
          </w:p>
        </w:tc>
        <w:tc>
          <w:tcPr>
            <w:tcW w:w="80" w:type="dxa"/>
            <w:vAlign w:val="bottom"/>
            <w:tcBorders>
              <w:top w:val="single" w:sz="8" w:color="0000EE"/>
            </w:tcBorders>
          </w:tcPr>
          <w:p>
            <w:pPr>
              <w:spacing w:after="0"/>
              <w:rPr>
                <w:sz w:val="21"/>
                <w:szCs w:val="21"/>
                <w:color w:val="auto"/>
              </w:rPr>
            </w:pPr>
          </w:p>
        </w:tc>
        <w:tc>
          <w:tcPr>
            <w:tcW w:w="60" w:type="dxa"/>
            <w:vAlign w:val="bottom"/>
            <w:tcBorders>
              <w:top w:val="single" w:sz="8" w:color="0000EE"/>
            </w:tcBorders>
          </w:tcPr>
          <w:p>
            <w:pPr>
              <w:spacing w:after="0"/>
              <w:rPr>
                <w:sz w:val="21"/>
                <w:szCs w:val="21"/>
                <w:color w:val="auto"/>
              </w:rPr>
            </w:pPr>
          </w:p>
        </w:tc>
        <w:tc>
          <w:tcPr>
            <w:tcW w:w="20" w:type="dxa"/>
            <w:vAlign w:val="bottom"/>
            <w:tcBorders>
              <w:top w:val="single" w:sz="8" w:color="0000EE"/>
            </w:tcBorders>
          </w:tcPr>
          <w:p>
            <w:pPr>
              <w:spacing w:after="0"/>
              <w:rPr>
                <w:sz w:val="21"/>
                <w:szCs w:val="21"/>
                <w:color w:val="auto"/>
              </w:rPr>
            </w:pPr>
          </w:p>
        </w:tc>
        <w:tc>
          <w:tcPr>
            <w:tcW w:w="20" w:type="dxa"/>
            <w:vAlign w:val="bottom"/>
            <w:tcBorders>
              <w:top w:val="single" w:sz="8" w:color="0000EE"/>
            </w:tcBorders>
          </w:tcPr>
          <w:p>
            <w:pPr>
              <w:spacing w:after="0"/>
              <w:rPr>
                <w:sz w:val="21"/>
                <w:szCs w:val="21"/>
                <w:color w:val="auto"/>
              </w:rPr>
            </w:pPr>
          </w:p>
        </w:tc>
        <w:tc>
          <w:tcPr>
            <w:tcW w:w="260" w:type="dxa"/>
            <w:vAlign w:val="bottom"/>
            <w:tcBorders>
              <w:top w:val="single" w:sz="8" w:color="0000EE"/>
            </w:tcBorders>
          </w:tcPr>
          <w:p>
            <w:pPr>
              <w:spacing w:after="0"/>
              <w:rPr>
                <w:sz w:val="21"/>
                <w:szCs w:val="21"/>
                <w:color w:val="auto"/>
              </w:rPr>
            </w:pPr>
          </w:p>
        </w:tc>
        <w:tc>
          <w:tcPr>
            <w:tcW w:w="80" w:type="dxa"/>
            <w:vAlign w:val="bottom"/>
            <w:tcBorders>
              <w:top w:val="single" w:sz="8" w:color="0000EE"/>
            </w:tcBorders>
          </w:tcPr>
          <w:p>
            <w:pPr>
              <w:spacing w:after="0"/>
              <w:rPr>
                <w:sz w:val="21"/>
                <w:szCs w:val="21"/>
                <w:color w:val="auto"/>
              </w:rPr>
            </w:pPr>
          </w:p>
        </w:tc>
        <w:tc>
          <w:tcPr>
            <w:tcW w:w="20" w:type="dxa"/>
            <w:vAlign w:val="bottom"/>
            <w:tcBorders>
              <w:top w:val="single" w:sz="8" w:color="0000EE"/>
            </w:tcBorders>
          </w:tcPr>
          <w:p>
            <w:pPr>
              <w:spacing w:after="0"/>
              <w:rPr>
                <w:sz w:val="21"/>
                <w:szCs w:val="21"/>
                <w:color w:val="auto"/>
              </w:rPr>
            </w:pPr>
          </w:p>
        </w:tc>
        <w:tc>
          <w:tcPr>
            <w:tcW w:w="380" w:type="dxa"/>
            <w:vAlign w:val="bottom"/>
            <w:tcBorders>
              <w:top w:val="single" w:sz="8" w:color="0000EE"/>
            </w:tcBorders>
          </w:tcPr>
          <w:p>
            <w:pPr>
              <w:spacing w:after="0"/>
              <w:rPr>
                <w:sz w:val="21"/>
                <w:szCs w:val="21"/>
                <w:color w:val="auto"/>
              </w:rPr>
            </w:pPr>
          </w:p>
        </w:tc>
        <w:tc>
          <w:tcPr>
            <w:tcW w:w="40" w:type="dxa"/>
            <w:vAlign w:val="bottom"/>
            <w:tcBorders>
              <w:top w:val="single" w:sz="8" w:color="0000EE"/>
            </w:tcBorders>
          </w:tcPr>
          <w:p>
            <w:pPr>
              <w:spacing w:after="0"/>
              <w:rPr>
                <w:sz w:val="21"/>
                <w:szCs w:val="21"/>
                <w:color w:val="auto"/>
              </w:rPr>
            </w:pPr>
          </w:p>
        </w:tc>
        <w:tc>
          <w:tcPr>
            <w:tcW w:w="80" w:type="dxa"/>
            <w:vAlign w:val="bottom"/>
            <w:tcBorders>
              <w:top w:val="single" w:sz="8" w:color="0000EE"/>
            </w:tcBorders>
          </w:tcPr>
          <w:p>
            <w:pPr>
              <w:spacing w:after="0"/>
              <w:rPr>
                <w:sz w:val="21"/>
                <w:szCs w:val="21"/>
                <w:color w:val="auto"/>
              </w:rPr>
            </w:pPr>
          </w:p>
        </w:tc>
        <w:tc>
          <w:tcPr>
            <w:tcW w:w="100" w:type="dxa"/>
            <w:vAlign w:val="bottom"/>
            <w:tcBorders>
              <w:top w:val="single" w:sz="8" w:color="CCEEFF"/>
            </w:tcBorders>
          </w:tcPr>
          <w:p>
            <w:pPr>
              <w:spacing w:after="0"/>
              <w:rPr>
                <w:sz w:val="21"/>
                <w:szCs w:val="21"/>
                <w:color w:val="auto"/>
              </w:rPr>
            </w:pPr>
          </w:p>
        </w:tc>
        <w:tc>
          <w:tcPr>
            <w:tcW w:w="1580" w:type="dxa"/>
            <w:vAlign w:val="bottom"/>
            <w:tcBorders>
              <w:top w:val="single" w:sz="8" w:color="CCEEFF"/>
            </w:tcBorders>
          </w:tcPr>
          <w:p>
            <w:pPr>
              <w:spacing w:after="0"/>
              <w:rPr>
                <w:sz w:val="21"/>
                <w:szCs w:val="21"/>
                <w:color w:val="auto"/>
              </w:rPr>
            </w:pPr>
          </w:p>
        </w:tc>
        <w:tc>
          <w:tcPr>
            <w:tcW w:w="1740" w:type="dxa"/>
            <w:vAlign w:val="bottom"/>
            <w:tcBorders>
              <w:top w:val="single" w:sz="8" w:color="CCEEFF"/>
            </w:tcBorders>
          </w:tcPr>
          <w:p>
            <w:pPr>
              <w:spacing w:after="0"/>
              <w:rPr>
                <w:sz w:val="21"/>
                <w:szCs w:val="21"/>
                <w:color w:val="auto"/>
              </w:rPr>
            </w:pPr>
          </w:p>
        </w:tc>
        <w:tc>
          <w:tcPr>
            <w:tcW w:w="380" w:type="dxa"/>
            <w:vAlign w:val="bottom"/>
            <w:tcBorders>
              <w:top w:val="single" w:sz="8" w:color="CCEEFF"/>
            </w:tcBorders>
          </w:tcPr>
          <w:p>
            <w:pPr>
              <w:spacing w:after="0"/>
              <w:rPr>
                <w:sz w:val="21"/>
                <w:szCs w:val="21"/>
                <w:color w:val="auto"/>
              </w:rPr>
            </w:pPr>
          </w:p>
        </w:tc>
        <w:tc>
          <w:tcPr>
            <w:tcW w:w="120" w:type="dxa"/>
            <w:vAlign w:val="bottom"/>
            <w:tcBorders>
              <w:top w:val="single" w:sz="8" w:color="CCEEFF"/>
            </w:tcBorders>
          </w:tcPr>
          <w:p>
            <w:pPr>
              <w:spacing w:after="0"/>
              <w:rPr>
                <w:sz w:val="21"/>
                <w:szCs w:val="21"/>
                <w:color w:val="auto"/>
              </w:rPr>
            </w:pPr>
          </w:p>
        </w:tc>
      </w:tr>
      <w:tr>
        <w:trPr>
          <w:trHeight w:val="210"/>
        </w:trPr>
        <w:tc>
          <w:tcPr>
            <w:tcW w:w="100" w:type="dxa"/>
            <w:vAlign w:val="bottom"/>
            <w:shd w:val="clear" w:color="auto" w:fill="CCEEFF"/>
          </w:tcPr>
          <w:p>
            <w:pPr>
              <w:spacing w:after="0"/>
              <w:rPr>
                <w:sz w:val="18"/>
                <w:szCs w:val="18"/>
                <w:color w:val="auto"/>
              </w:rPr>
            </w:pPr>
          </w:p>
        </w:tc>
        <w:tc>
          <w:tcPr>
            <w:tcW w:w="660" w:type="dxa"/>
            <w:vAlign w:val="bottom"/>
            <w:tcBorders>
              <w:right w:val="single" w:sz="8" w:color="CCEEFF"/>
            </w:tcBorders>
            <w:shd w:val="clear" w:color="auto" w:fill="CCEEFF"/>
          </w:tcPr>
          <w:p>
            <w:pPr>
              <w:spacing w:after="0" w:line="189" w:lineRule="exact"/>
              <w:rPr>
                <w:rFonts w:ascii="Arial" w:cs="Arial" w:eastAsia="Arial" w:hAnsi="Arial"/>
                <w:sz w:val="20"/>
                <w:szCs w:val="20"/>
                <w:color w:val="0000EE"/>
              </w:rPr>
            </w:pPr>
            <w:hyperlink w:anchor="page39">
              <w:r>
                <w:rPr>
                  <w:rFonts w:ascii="Arial" w:cs="Arial" w:eastAsia="Arial" w:hAnsi="Arial"/>
                  <w:sz w:val="20"/>
                  <w:szCs w:val="20"/>
                  <w:color w:val="0000EE"/>
                </w:rPr>
                <w:t>Item 1.</w:t>
              </w:r>
            </w:hyperlink>
          </w:p>
        </w:tc>
        <w:tc>
          <w:tcPr>
            <w:tcW w:w="8720" w:type="dxa"/>
            <w:vAlign w:val="bottom"/>
            <w:gridSpan w:val="28"/>
            <w:shd w:val="clear" w:color="auto" w:fill="CCEEFF"/>
          </w:tcPr>
          <w:p>
            <w:pPr>
              <w:spacing w:after="0" w:line="189" w:lineRule="exact"/>
              <w:rPr>
                <w:rFonts w:ascii="Arial" w:cs="Arial" w:eastAsia="Arial" w:hAnsi="Arial"/>
                <w:sz w:val="20"/>
                <w:szCs w:val="20"/>
                <w:color w:val="0000EE"/>
              </w:rPr>
            </w:pPr>
            <w:hyperlink w:anchor="page39">
              <w:r>
                <w:rPr>
                  <w:rFonts w:ascii="Arial" w:cs="Arial" w:eastAsia="Arial" w:hAnsi="Arial"/>
                  <w:sz w:val="20"/>
                  <w:szCs w:val="20"/>
                  <w:color w:val="0000EE"/>
                </w:rPr>
                <w:t>Legal Proceedings</w:t>
              </w:r>
            </w:hyperlink>
          </w:p>
        </w:tc>
        <w:tc>
          <w:tcPr>
            <w:tcW w:w="500" w:type="dxa"/>
            <w:vAlign w:val="bottom"/>
            <w:gridSpan w:val="2"/>
            <w:shd w:val="clear" w:color="auto" w:fill="CCEEFF"/>
          </w:tcPr>
          <w:p>
            <w:pPr>
              <w:jc w:val="right"/>
              <w:ind w:right="40"/>
              <w:spacing w:after="0" w:line="189" w:lineRule="exact"/>
              <w:rPr>
                <w:sz w:val="20"/>
                <w:szCs w:val="20"/>
                <w:color w:val="auto"/>
              </w:rPr>
            </w:pPr>
            <w:r>
              <w:rPr>
                <w:rFonts w:ascii="Arial" w:cs="Arial" w:eastAsia="Arial" w:hAnsi="Arial"/>
                <w:sz w:val="20"/>
                <w:szCs w:val="20"/>
                <w:color w:val="auto"/>
              </w:rPr>
              <w:t>37</w:t>
            </w:r>
          </w:p>
        </w:tc>
      </w:tr>
      <w:tr>
        <w:trPr>
          <w:trHeight w:val="243"/>
        </w:trPr>
        <w:tc>
          <w:tcPr>
            <w:tcW w:w="100" w:type="dxa"/>
            <w:vAlign w:val="bottom"/>
            <w:tcBorders>
              <w:top w:val="single" w:sz="8" w:color="CCEEFF"/>
            </w:tcBorders>
          </w:tcPr>
          <w:p>
            <w:pPr>
              <w:spacing w:after="0"/>
              <w:rPr>
                <w:sz w:val="21"/>
                <w:szCs w:val="21"/>
                <w:color w:val="auto"/>
              </w:rPr>
            </w:pPr>
          </w:p>
        </w:tc>
        <w:tc>
          <w:tcPr>
            <w:tcW w:w="660" w:type="dxa"/>
            <w:vAlign w:val="bottom"/>
            <w:tcBorders>
              <w:top w:val="single" w:sz="8" w:color="0000EE"/>
            </w:tcBorders>
          </w:tcPr>
          <w:p>
            <w:pPr>
              <w:spacing w:after="0"/>
              <w:rPr>
                <w:sz w:val="21"/>
                <w:szCs w:val="21"/>
                <w:color w:val="auto"/>
              </w:rPr>
            </w:pPr>
          </w:p>
        </w:tc>
        <w:tc>
          <w:tcPr>
            <w:tcW w:w="180" w:type="dxa"/>
            <w:vAlign w:val="bottom"/>
            <w:tcBorders>
              <w:top w:val="single" w:sz="8" w:color="0000EE"/>
            </w:tcBorders>
          </w:tcPr>
          <w:p>
            <w:pPr>
              <w:spacing w:after="0"/>
              <w:rPr>
                <w:sz w:val="21"/>
                <w:szCs w:val="21"/>
                <w:color w:val="auto"/>
              </w:rPr>
            </w:pPr>
          </w:p>
        </w:tc>
        <w:tc>
          <w:tcPr>
            <w:tcW w:w="140" w:type="dxa"/>
            <w:vAlign w:val="bottom"/>
            <w:tcBorders>
              <w:top w:val="single" w:sz="8" w:color="0000EE"/>
            </w:tcBorders>
          </w:tcPr>
          <w:p>
            <w:pPr>
              <w:spacing w:after="0"/>
              <w:rPr>
                <w:sz w:val="21"/>
                <w:szCs w:val="21"/>
                <w:color w:val="auto"/>
              </w:rPr>
            </w:pPr>
          </w:p>
        </w:tc>
        <w:tc>
          <w:tcPr>
            <w:tcW w:w="340" w:type="dxa"/>
            <w:vAlign w:val="bottom"/>
            <w:tcBorders>
              <w:top w:val="single" w:sz="8" w:color="0000EE"/>
            </w:tcBorders>
          </w:tcPr>
          <w:p>
            <w:pPr>
              <w:spacing w:after="0"/>
              <w:rPr>
                <w:sz w:val="21"/>
                <w:szCs w:val="21"/>
                <w:color w:val="auto"/>
              </w:rPr>
            </w:pPr>
          </w:p>
        </w:tc>
        <w:tc>
          <w:tcPr>
            <w:tcW w:w="480" w:type="dxa"/>
            <w:vAlign w:val="bottom"/>
            <w:tcBorders>
              <w:top w:val="single" w:sz="8" w:color="0000EE"/>
            </w:tcBorders>
          </w:tcPr>
          <w:p>
            <w:pPr>
              <w:spacing w:after="0"/>
              <w:rPr>
                <w:sz w:val="21"/>
                <w:szCs w:val="21"/>
                <w:color w:val="auto"/>
              </w:rPr>
            </w:pPr>
          </w:p>
        </w:tc>
        <w:tc>
          <w:tcPr>
            <w:tcW w:w="340" w:type="dxa"/>
            <w:vAlign w:val="bottom"/>
            <w:tcBorders>
              <w:top w:val="single" w:sz="8" w:color="0000EE"/>
            </w:tcBorders>
          </w:tcPr>
          <w:p>
            <w:pPr>
              <w:spacing w:after="0"/>
              <w:rPr>
                <w:sz w:val="21"/>
                <w:szCs w:val="21"/>
                <w:color w:val="auto"/>
              </w:rPr>
            </w:pPr>
          </w:p>
        </w:tc>
        <w:tc>
          <w:tcPr>
            <w:tcW w:w="240" w:type="dxa"/>
            <w:vAlign w:val="bottom"/>
            <w:tcBorders>
              <w:top w:val="single" w:sz="8" w:color="CCEEFF"/>
            </w:tcBorders>
          </w:tcPr>
          <w:p>
            <w:pPr>
              <w:spacing w:after="0"/>
              <w:rPr>
                <w:sz w:val="21"/>
                <w:szCs w:val="21"/>
                <w:color w:val="auto"/>
              </w:rPr>
            </w:pPr>
          </w:p>
        </w:tc>
        <w:tc>
          <w:tcPr>
            <w:tcW w:w="240" w:type="dxa"/>
            <w:vAlign w:val="bottom"/>
            <w:tcBorders>
              <w:top w:val="single" w:sz="8" w:color="CCEEFF"/>
            </w:tcBorders>
          </w:tcPr>
          <w:p>
            <w:pPr>
              <w:spacing w:after="0"/>
              <w:rPr>
                <w:sz w:val="21"/>
                <w:szCs w:val="21"/>
                <w:color w:val="auto"/>
              </w:rPr>
            </w:pPr>
          </w:p>
        </w:tc>
        <w:tc>
          <w:tcPr>
            <w:tcW w:w="920" w:type="dxa"/>
            <w:vAlign w:val="bottom"/>
            <w:tcBorders>
              <w:top w:val="single" w:sz="8" w:color="CCEEFF"/>
            </w:tcBorders>
          </w:tcPr>
          <w:p>
            <w:pPr>
              <w:spacing w:after="0"/>
              <w:rPr>
                <w:sz w:val="21"/>
                <w:szCs w:val="21"/>
                <w:color w:val="auto"/>
              </w:rPr>
            </w:pPr>
          </w:p>
        </w:tc>
        <w:tc>
          <w:tcPr>
            <w:tcW w:w="160" w:type="dxa"/>
            <w:vAlign w:val="bottom"/>
            <w:tcBorders>
              <w:top w:val="single" w:sz="8" w:color="CCEEFF"/>
            </w:tcBorders>
          </w:tcPr>
          <w:p>
            <w:pPr>
              <w:spacing w:after="0"/>
              <w:rPr>
                <w:sz w:val="21"/>
                <w:szCs w:val="21"/>
                <w:color w:val="auto"/>
              </w:rPr>
            </w:pPr>
          </w:p>
        </w:tc>
        <w:tc>
          <w:tcPr>
            <w:tcW w:w="120" w:type="dxa"/>
            <w:vAlign w:val="bottom"/>
            <w:tcBorders>
              <w:top w:val="single" w:sz="8" w:color="CCEEFF"/>
            </w:tcBorders>
          </w:tcPr>
          <w:p>
            <w:pPr>
              <w:spacing w:after="0"/>
              <w:rPr>
                <w:sz w:val="21"/>
                <w:szCs w:val="21"/>
                <w:color w:val="auto"/>
              </w:rPr>
            </w:pPr>
          </w:p>
        </w:tc>
        <w:tc>
          <w:tcPr>
            <w:tcW w:w="440" w:type="dxa"/>
            <w:vAlign w:val="bottom"/>
            <w:tcBorders>
              <w:top w:val="single" w:sz="8" w:color="CCEEFF"/>
            </w:tcBorders>
          </w:tcPr>
          <w:p>
            <w:pPr>
              <w:spacing w:after="0"/>
              <w:rPr>
                <w:sz w:val="21"/>
                <w:szCs w:val="21"/>
                <w:color w:val="auto"/>
              </w:rPr>
            </w:pPr>
          </w:p>
        </w:tc>
        <w:tc>
          <w:tcPr>
            <w:tcW w:w="180" w:type="dxa"/>
            <w:vAlign w:val="bottom"/>
            <w:tcBorders>
              <w:top w:val="single" w:sz="8" w:color="CCEEFF"/>
            </w:tcBorders>
          </w:tcPr>
          <w:p>
            <w:pPr>
              <w:spacing w:after="0"/>
              <w:rPr>
                <w:sz w:val="21"/>
                <w:szCs w:val="21"/>
                <w:color w:val="auto"/>
              </w:rPr>
            </w:pPr>
          </w:p>
        </w:tc>
        <w:tc>
          <w:tcPr>
            <w:tcW w:w="60" w:type="dxa"/>
            <w:vAlign w:val="bottom"/>
            <w:tcBorders>
              <w:top w:val="single" w:sz="8" w:color="CCEEFF"/>
            </w:tcBorders>
          </w:tcPr>
          <w:p>
            <w:pPr>
              <w:spacing w:after="0"/>
              <w:rPr>
                <w:sz w:val="21"/>
                <w:szCs w:val="21"/>
                <w:color w:val="auto"/>
              </w:rPr>
            </w:pPr>
          </w:p>
        </w:tc>
        <w:tc>
          <w:tcPr>
            <w:tcW w:w="340" w:type="dxa"/>
            <w:vAlign w:val="bottom"/>
            <w:tcBorders>
              <w:top w:val="single" w:sz="8" w:color="CCEEFF"/>
            </w:tcBorders>
          </w:tcPr>
          <w:p>
            <w:pPr>
              <w:spacing w:after="0"/>
              <w:rPr>
                <w:sz w:val="21"/>
                <w:szCs w:val="21"/>
                <w:color w:val="auto"/>
              </w:rPr>
            </w:pPr>
          </w:p>
        </w:tc>
        <w:tc>
          <w:tcPr>
            <w:tcW w:w="80" w:type="dxa"/>
            <w:vAlign w:val="bottom"/>
            <w:tcBorders>
              <w:top w:val="single" w:sz="8" w:color="CCEEFF"/>
            </w:tcBorders>
          </w:tcPr>
          <w:p>
            <w:pPr>
              <w:spacing w:after="0"/>
              <w:rPr>
                <w:sz w:val="21"/>
                <w:szCs w:val="21"/>
                <w:color w:val="auto"/>
              </w:rPr>
            </w:pPr>
          </w:p>
        </w:tc>
        <w:tc>
          <w:tcPr>
            <w:tcW w:w="80" w:type="dxa"/>
            <w:vAlign w:val="bottom"/>
            <w:tcBorders>
              <w:top w:val="single" w:sz="8" w:color="CCEEFF"/>
            </w:tcBorders>
          </w:tcPr>
          <w:p>
            <w:pPr>
              <w:spacing w:after="0"/>
              <w:rPr>
                <w:sz w:val="21"/>
                <w:szCs w:val="21"/>
                <w:color w:val="auto"/>
              </w:rPr>
            </w:pPr>
          </w:p>
        </w:tc>
        <w:tc>
          <w:tcPr>
            <w:tcW w:w="60" w:type="dxa"/>
            <w:vAlign w:val="bottom"/>
            <w:tcBorders>
              <w:top w:val="single" w:sz="8" w:color="CCEEFF"/>
            </w:tcBorders>
          </w:tcPr>
          <w:p>
            <w:pPr>
              <w:spacing w:after="0"/>
              <w:rPr>
                <w:sz w:val="21"/>
                <w:szCs w:val="21"/>
                <w:color w:val="auto"/>
              </w:rPr>
            </w:pPr>
          </w:p>
        </w:tc>
        <w:tc>
          <w:tcPr>
            <w:tcW w:w="20" w:type="dxa"/>
            <w:vAlign w:val="bottom"/>
            <w:tcBorders>
              <w:top w:val="single" w:sz="8" w:color="CCEEFF"/>
            </w:tcBorders>
          </w:tcPr>
          <w:p>
            <w:pPr>
              <w:spacing w:after="0"/>
              <w:rPr>
                <w:sz w:val="21"/>
                <w:szCs w:val="21"/>
                <w:color w:val="auto"/>
              </w:rPr>
            </w:pPr>
          </w:p>
        </w:tc>
        <w:tc>
          <w:tcPr>
            <w:tcW w:w="20" w:type="dxa"/>
            <w:vAlign w:val="bottom"/>
            <w:tcBorders>
              <w:top w:val="single" w:sz="8" w:color="CCEEFF"/>
            </w:tcBorders>
          </w:tcPr>
          <w:p>
            <w:pPr>
              <w:spacing w:after="0"/>
              <w:rPr>
                <w:sz w:val="21"/>
                <w:szCs w:val="21"/>
                <w:color w:val="auto"/>
              </w:rPr>
            </w:pPr>
          </w:p>
        </w:tc>
        <w:tc>
          <w:tcPr>
            <w:tcW w:w="260" w:type="dxa"/>
            <w:vAlign w:val="bottom"/>
            <w:tcBorders>
              <w:top w:val="single" w:sz="8" w:color="CCEEFF"/>
            </w:tcBorders>
          </w:tcPr>
          <w:p>
            <w:pPr>
              <w:spacing w:after="0"/>
              <w:rPr>
                <w:sz w:val="21"/>
                <w:szCs w:val="21"/>
                <w:color w:val="auto"/>
              </w:rPr>
            </w:pPr>
          </w:p>
        </w:tc>
        <w:tc>
          <w:tcPr>
            <w:tcW w:w="80" w:type="dxa"/>
            <w:vAlign w:val="bottom"/>
            <w:tcBorders>
              <w:top w:val="single" w:sz="8" w:color="CCEEFF"/>
            </w:tcBorders>
          </w:tcPr>
          <w:p>
            <w:pPr>
              <w:spacing w:after="0"/>
              <w:rPr>
                <w:sz w:val="21"/>
                <w:szCs w:val="21"/>
                <w:color w:val="auto"/>
              </w:rPr>
            </w:pPr>
          </w:p>
        </w:tc>
        <w:tc>
          <w:tcPr>
            <w:tcW w:w="20" w:type="dxa"/>
            <w:vAlign w:val="bottom"/>
            <w:tcBorders>
              <w:top w:val="single" w:sz="8" w:color="CCEEFF"/>
            </w:tcBorders>
          </w:tcPr>
          <w:p>
            <w:pPr>
              <w:spacing w:after="0"/>
              <w:rPr>
                <w:sz w:val="21"/>
                <w:szCs w:val="21"/>
                <w:color w:val="auto"/>
              </w:rPr>
            </w:pPr>
          </w:p>
        </w:tc>
        <w:tc>
          <w:tcPr>
            <w:tcW w:w="380" w:type="dxa"/>
            <w:vAlign w:val="bottom"/>
            <w:tcBorders>
              <w:top w:val="single" w:sz="8" w:color="CCEEFF"/>
            </w:tcBorders>
          </w:tcPr>
          <w:p>
            <w:pPr>
              <w:spacing w:after="0"/>
              <w:rPr>
                <w:sz w:val="21"/>
                <w:szCs w:val="21"/>
                <w:color w:val="auto"/>
              </w:rPr>
            </w:pPr>
          </w:p>
        </w:tc>
        <w:tc>
          <w:tcPr>
            <w:tcW w:w="40" w:type="dxa"/>
            <w:vAlign w:val="bottom"/>
            <w:tcBorders>
              <w:top w:val="single" w:sz="8" w:color="CCEEFF"/>
            </w:tcBorders>
          </w:tcPr>
          <w:p>
            <w:pPr>
              <w:spacing w:after="0"/>
              <w:rPr>
                <w:sz w:val="21"/>
                <w:szCs w:val="21"/>
                <w:color w:val="auto"/>
              </w:rPr>
            </w:pPr>
          </w:p>
        </w:tc>
        <w:tc>
          <w:tcPr>
            <w:tcW w:w="80" w:type="dxa"/>
            <w:vAlign w:val="bottom"/>
            <w:tcBorders>
              <w:top w:val="single" w:sz="8" w:color="CCEEFF"/>
            </w:tcBorders>
          </w:tcPr>
          <w:p>
            <w:pPr>
              <w:spacing w:after="0"/>
              <w:rPr>
                <w:sz w:val="21"/>
                <w:szCs w:val="21"/>
                <w:color w:val="auto"/>
              </w:rPr>
            </w:pPr>
          </w:p>
        </w:tc>
        <w:tc>
          <w:tcPr>
            <w:tcW w:w="100" w:type="dxa"/>
            <w:vAlign w:val="bottom"/>
            <w:tcBorders>
              <w:top w:val="single" w:sz="8" w:color="CCEEFF"/>
            </w:tcBorders>
          </w:tcPr>
          <w:p>
            <w:pPr>
              <w:spacing w:after="0"/>
              <w:rPr>
                <w:sz w:val="21"/>
                <w:szCs w:val="21"/>
                <w:color w:val="auto"/>
              </w:rPr>
            </w:pPr>
          </w:p>
        </w:tc>
        <w:tc>
          <w:tcPr>
            <w:tcW w:w="1580" w:type="dxa"/>
            <w:vAlign w:val="bottom"/>
            <w:tcBorders>
              <w:top w:val="single" w:sz="8" w:color="CCEEFF"/>
            </w:tcBorders>
          </w:tcPr>
          <w:p>
            <w:pPr>
              <w:spacing w:after="0"/>
              <w:rPr>
                <w:sz w:val="21"/>
                <w:szCs w:val="21"/>
                <w:color w:val="auto"/>
              </w:rPr>
            </w:pPr>
          </w:p>
        </w:tc>
        <w:tc>
          <w:tcPr>
            <w:tcW w:w="1740" w:type="dxa"/>
            <w:vAlign w:val="bottom"/>
            <w:tcBorders>
              <w:top w:val="single" w:sz="8" w:color="CCEEFF"/>
            </w:tcBorders>
          </w:tcPr>
          <w:p>
            <w:pPr>
              <w:spacing w:after="0"/>
              <w:rPr>
                <w:sz w:val="21"/>
                <w:szCs w:val="21"/>
                <w:color w:val="auto"/>
              </w:rPr>
            </w:pPr>
          </w:p>
        </w:tc>
        <w:tc>
          <w:tcPr>
            <w:tcW w:w="380" w:type="dxa"/>
            <w:vAlign w:val="bottom"/>
            <w:tcBorders>
              <w:top w:val="single" w:sz="8" w:color="CCEEFF"/>
            </w:tcBorders>
          </w:tcPr>
          <w:p>
            <w:pPr>
              <w:spacing w:after="0"/>
              <w:rPr>
                <w:sz w:val="21"/>
                <w:szCs w:val="21"/>
                <w:color w:val="auto"/>
              </w:rPr>
            </w:pPr>
          </w:p>
        </w:tc>
        <w:tc>
          <w:tcPr>
            <w:tcW w:w="120" w:type="dxa"/>
            <w:vAlign w:val="bottom"/>
            <w:tcBorders>
              <w:top w:val="single" w:sz="8" w:color="CCEEFF"/>
            </w:tcBorders>
          </w:tcPr>
          <w:p>
            <w:pPr>
              <w:spacing w:after="0"/>
              <w:rPr>
                <w:sz w:val="21"/>
                <w:szCs w:val="21"/>
                <w:color w:val="auto"/>
              </w:rPr>
            </w:pPr>
          </w:p>
        </w:tc>
      </w:tr>
      <w:tr>
        <w:trPr>
          <w:trHeight w:val="210"/>
        </w:trPr>
        <w:tc>
          <w:tcPr>
            <w:tcW w:w="100" w:type="dxa"/>
            <w:vAlign w:val="bottom"/>
            <w:shd w:val="clear" w:color="auto" w:fill="CCEEFF"/>
          </w:tcPr>
          <w:p>
            <w:pPr>
              <w:spacing w:after="0"/>
              <w:rPr>
                <w:sz w:val="18"/>
                <w:szCs w:val="18"/>
                <w:color w:val="auto"/>
              </w:rPr>
            </w:pPr>
          </w:p>
        </w:tc>
        <w:tc>
          <w:tcPr>
            <w:tcW w:w="9380" w:type="dxa"/>
            <w:vAlign w:val="bottom"/>
            <w:gridSpan w:val="29"/>
            <w:shd w:val="clear" w:color="auto" w:fill="CCEEFF"/>
          </w:tcPr>
          <w:p>
            <w:pPr>
              <w:spacing w:after="0" w:line="189" w:lineRule="exact"/>
              <w:rPr>
                <w:rFonts w:ascii="Arial" w:cs="Arial" w:eastAsia="Arial" w:hAnsi="Arial"/>
                <w:sz w:val="20"/>
                <w:szCs w:val="20"/>
                <w:color w:val="0000EE"/>
              </w:rPr>
            </w:pPr>
            <w:hyperlink w:anchor="page39">
              <w:r>
                <w:rPr>
                  <w:rFonts w:ascii="Arial" w:cs="Arial" w:eastAsia="Arial" w:hAnsi="Arial"/>
                  <w:sz w:val="20"/>
                  <w:szCs w:val="20"/>
                  <w:color w:val="0000EE"/>
                </w:rPr>
                <w:t>Item 1A. Risk Factors</w:t>
              </w:r>
            </w:hyperlink>
          </w:p>
        </w:tc>
        <w:tc>
          <w:tcPr>
            <w:tcW w:w="500" w:type="dxa"/>
            <w:vAlign w:val="bottom"/>
            <w:gridSpan w:val="2"/>
            <w:shd w:val="clear" w:color="auto" w:fill="CCEEFF"/>
          </w:tcPr>
          <w:p>
            <w:pPr>
              <w:jc w:val="right"/>
              <w:ind w:right="40"/>
              <w:spacing w:after="0" w:line="189" w:lineRule="exact"/>
              <w:rPr>
                <w:sz w:val="20"/>
                <w:szCs w:val="20"/>
                <w:color w:val="auto"/>
              </w:rPr>
            </w:pPr>
            <w:r>
              <w:rPr>
                <w:rFonts w:ascii="Arial" w:cs="Arial" w:eastAsia="Arial" w:hAnsi="Arial"/>
                <w:sz w:val="20"/>
                <w:szCs w:val="20"/>
                <w:color w:val="auto"/>
              </w:rPr>
              <w:t>37</w:t>
            </w:r>
          </w:p>
        </w:tc>
      </w:tr>
      <w:tr>
        <w:trPr>
          <w:trHeight w:val="243"/>
        </w:trPr>
        <w:tc>
          <w:tcPr>
            <w:tcW w:w="100" w:type="dxa"/>
            <w:vAlign w:val="bottom"/>
            <w:tcBorders>
              <w:top w:val="single" w:sz="8" w:color="CCEEFF"/>
            </w:tcBorders>
          </w:tcPr>
          <w:p>
            <w:pPr>
              <w:spacing w:after="0"/>
              <w:rPr>
                <w:sz w:val="21"/>
                <w:szCs w:val="21"/>
                <w:color w:val="auto"/>
              </w:rPr>
            </w:pPr>
          </w:p>
        </w:tc>
        <w:tc>
          <w:tcPr>
            <w:tcW w:w="660" w:type="dxa"/>
            <w:vAlign w:val="bottom"/>
            <w:tcBorders>
              <w:top w:val="single" w:sz="8" w:color="0000EE"/>
            </w:tcBorders>
          </w:tcPr>
          <w:p>
            <w:pPr>
              <w:spacing w:after="0"/>
              <w:rPr>
                <w:sz w:val="21"/>
                <w:szCs w:val="21"/>
                <w:color w:val="auto"/>
              </w:rPr>
            </w:pPr>
          </w:p>
        </w:tc>
        <w:tc>
          <w:tcPr>
            <w:tcW w:w="180" w:type="dxa"/>
            <w:vAlign w:val="bottom"/>
            <w:tcBorders>
              <w:top w:val="single" w:sz="8" w:color="0000EE"/>
            </w:tcBorders>
          </w:tcPr>
          <w:p>
            <w:pPr>
              <w:spacing w:after="0"/>
              <w:rPr>
                <w:sz w:val="21"/>
                <w:szCs w:val="21"/>
                <w:color w:val="auto"/>
              </w:rPr>
            </w:pPr>
          </w:p>
        </w:tc>
        <w:tc>
          <w:tcPr>
            <w:tcW w:w="140" w:type="dxa"/>
            <w:vAlign w:val="bottom"/>
            <w:tcBorders>
              <w:top w:val="single" w:sz="8" w:color="0000EE"/>
            </w:tcBorders>
          </w:tcPr>
          <w:p>
            <w:pPr>
              <w:spacing w:after="0"/>
              <w:rPr>
                <w:sz w:val="21"/>
                <w:szCs w:val="21"/>
                <w:color w:val="auto"/>
              </w:rPr>
            </w:pPr>
          </w:p>
        </w:tc>
        <w:tc>
          <w:tcPr>
            <w:tcW w:w="340" w:type="dxa"/>
            <w:vAlign w:val="bottom"/>
            <w:tcBorders>
              <w:top w:val="single" w:sz="8" w:color="0000EE"/>
            </w:tcBorders>
          </w:tcPr>
          <w:p>
            <w:pPr>
              <w:spacing w:after="0"/>
              <w:rPr>
                <w:sz w:val="21"/>
                <w:szCs w:val="21"/>
                <w:color w:val="auto"/>
              </w:rPr>
            </w:pPr>
          </w:p>
        </w:tc>
        <w:tc>
          <w:tcPr>
            <w:tcW w:w="480" w:type="dxa"/>
            <w:vAlign w:val="bottom"/>
            <w:tcBorders>
              <w:top w:val="single" w:sz="8" w:color="0000EE"/>
            </w:tcBorders>
          </w:tcPr>
          <w:p>
            <w:pPr>
              <w:spacing w:after="0"/>
              <w:rPr>
                <w:sz w:val="21"/>
                <w:szCs w:val="21"/>
                <w:color w:val="auto"/>
              </w:rPr>
            </w:pPr>
          </w:p>
        </w:tc>
        <w:tc>
          <w:tcPr>
            <w:tcW w:w="340" w:type="dxa"/>
            <w:vAlign w:val="bottom"/>
            <w:tcBorders>
              <w:top w:val="single" w:sz="8" w:color="CCEEFF"/>
            </w:tcBorders>
          </w:tcPr>
          <w:p>
            <w:pPr>
              <w:spacing w:after="0"/>
              <w:rPr>
                <w:sz w:val="21"/>
                <w:szCs w:val="21"/>
                <w:color w:val="auto"/>
              </w:rPr>
            </w:pPr>
          </w:p>
        </w:tc>
        <w:tc>
          <w:tcPr>
            <w:tcW w:w="240" w:type="dxa"/>
            <w:vAlign w:val="bottom"/>
            <w:tcBorders>
              <w:top w:val="single" w:sz="8" w:color="CCEEFF"/>
            </w:tcBorders>
          </w:tcPr>
          <w:p>
            <w:pPr>
              <w:spacing w:after="0"/>
              <w:rPr>
                <w:sz w:val="21"/>
                <w:szCs w:val="21"/>
                <w:color w:val="auto"/>
              </w:rPr>
            </w:pPr>
          </w:p>
        </w:tc>
        <w:tc>
          <w:tcPr>
            <w:tcW w:w="240" w:type="dxa"/>
            <w:vAlign w:val="bottom"/>
            <w:tcBorders>
              <w:top w:val="single" w:sz="8" w:color="CCEEFF"/>
            </w:tcBorders>
          </w:tcPr>
          <w:p>
            <w:pPr>
              <w:spacing w:after="0"/>
              <w:rPr>
                <w:sz w:val="21"/>
                <w:szCs w:val="21"/>
                <w:color w:val="auto"/>
              </w:rPr>
            </w:pPr>
          </w:p>
        </w:tc>
        <w:tc>
          <w:tcPr>
            <w:tcW w:w="920" w:type="dxa"/>
            <w:vAlign w:val="bottom"/>
            <w:tcBorders>
              <w:top w:val="single" w:sz="8" w:color="CCEEFF"/>
            </w:tcBorders>
          </w:tcPr>
          <w:p>
            <w:pPr>
              <w:spacing w:after="0"/>
              <w:rPr>
                <w:sz w:val="21"/>
                <w:szCs w:val="21"/>
                <w:color w:val="auto"/>
              </w:rPr>
            </w:pPr>
          </w:p>
        </w:tc>
        <w:tc>
          <w:tcPr>
            <w:tcW w:w="160" w:type="dxa"/>
            <w:vAlign w:val="bottom"/>
            <w:tcBorders>
              <w:top w:val="single" w:sz="8" w:color="CCEEFF"/>
            </w:tcBorders>
          </w:tcPr>
          <w:p>
            <w:pPr>
              <w:spacing w:after="0"/>
              <w:rPr>
                <w:sz w:val="21"/>
                <w:szCs w:val="21"/>
                <w:color w:val="auto"/>
              </w:rPr>
            </w:pPr>
          </w:p>
        </w:tc>
        <w:tc>
          <w:tcPr>
            <w:tcW w:w="120" w:type="dxa"/>
            <w:vAlign w:val="bottom"/>
            <w:tcBorders>
              <w:top w:val="single" w:sz="8" w:color="CCEEFF"/>
            </w:tcBorders>
          </w:tcPr>
          <w:p>
            <w:pPr>
              <w:spacing w:after="0"/>
              <w:rPr>
                <w:sz w:val="21"/>
                <w:szCs w:val="21"/>
                <w:color w:val="auto"/>
              </w:rPr>
            </w:pPr>
          </w:p>
        </w:tc>
        <w:tc>
          <w:tcPr>
            <w:tcW w:w="440" w:type="dxa"/>
            <w:vAlign w:val="bottom"/>
            <w:tcBorders>
              <w:top w:val="single" w:sz="8" w:color="CCEEFF"/>
            </w:tcBorders>
          </w:tcPr>
          <w:p>
            <w:pPr>
              <w:spacing w:after="0"/>
              <w:rPr>
                <w:sz w:val="21"/>
                <w:szCs w:val="21"/>
                <w:color w:val="auto"/>
              </w:rPr>
            </w:pPr>
          </w:p>
        </w:tc>
        <w:tc>
          <w:tcPr>
            <w:tcW w:w="180" w:type="dxa"/>
            <w:vAlign w:val="bottom"/>
            <w:tcBorders>
              <w:top w:val="single" w:sz="8" w:color="CCEEFF"/>
            </w:tcBorders>
          </w:tcPr>
          <w:p>
            <w:pPr>
              <w:spacing w:after="0"/>
              <w:rPr>
                <w:sz w:val="21"/>
                <w:szCs w:val="21"/>
                <w:color w:val="auto"/>
              </w:rPr>
            </w:pPr>
          </w:p>
        </w:tc>
        <w:tc>
          <w:tcPr>
            <w:tcW w:w="60" w:type="dxa"/>
            <w:vAlign w:val="bottom"/>
            <w:tcBorders>
              <w:top w:val="single" w:sz="8" w:color="CCEEFF"/>
            </w:tcBorders>
          </w:tcPr>
          <w:p>
            <w:pPr>
              <w:spacing w:after="0"/>
              <w:rPr>
                <w:sz w:val="21"/>
                <w:szCs w:val="21"/>
                <w:color w:val="auto"/>
              </w:rPr>
            </w:pPr>
          </w:p>
        </w:tc>
        <w:tc>
          <w:tcPr>
            <w:tcW w:w="340" w:type="dxa"/>
            <w:vAlign w:val="bottom"/>
            <w:tcBorders>
              <w:top w:val="single" w:sz="8" w:color="CCEEFF"/>
            </w:tcBorders>
          </w:tcPr>
          <w:p>
            <w:pPr>
              <w:spacing w:after="0"/>
              <w:rPr>
                <w:sz w:val="21"/>
                <w:szCs w:val="21"/>
                <w:color w:val="auto"/>
              </w:rPr>
            </w:pPr>
          </w:p>
        </w:tc>
        <w:tc>
          <w:tcPr>
            <w:tcW w:w="80" w:type="dxa"/>
            <w:vAlign w:val="bottom"/>
            <w:tcBorders>
              <w:top w:val="single" w:sz="8" w:color="CCEEFF"/>
            </w:tcBorders>
          </w:tcPr>
          <w:p>
            <w:pPr>
              <w:spacing w:after="0"/>
              <w:rPr>
                <w:sz w:val="21"/>
                <w:szCs w:val="21"/>
                <w:color w:val="auto"/>
              </w:rPr>
            </w:pPr>
          </w:p>
        </w:tc>
        <w:tc>
          <w:tcPr>
            <w:tcW w:w="80" w:type="dxa"/>
            <w:vAlign w:val="bottom"/>
            <w:tcBorders>
              <w:top w:val="single" w:sz="8" w:color="CCEEFF"/>
            </w:tcBorders>
          </w:tcPr>
          <w:p>
            <w:pPr>
              <w:spacing w:after="0"/>
              <w:rPr>
                <w:sz w:val="21"/>
                <w:szCs w:val="21"/>
                <w:color w:val="auto"/>
              </w:rPr>
            </w:pPr>
          </w:p>
        </w:tc>
        <w:tc>
          <w:tcPr>
            <w:tcW w:w="60" w:type="dxa"/>
            <w:vAlign w:val="bottom"/>
            <w:tcBorders>
              <w:top w:val="single" w:sz="8" w:color="CCEEFF"/>
            </w:tcBorders>
          </w:tcPr>
          <w:p>
            <w:pPr>
              <w:spacing w:after="0"/>
              <w:rPr>
                <w:sz w:val="21"/>
                <w:szCs w:val="21"/>
                <w:color w:val="auto"/>
              </w:rPr>
            </w:pPr>
          </w:p>
        </w:tc>
        <w:tc>
          <w:tcPr>
            <w:tcW w:w="20" w:type="dxa"/>
            <w:vAlign w:val="bottom"/>
            <w:tcBorders>
              <w:top w:val="single" w:sz="8" w:color="CCEEFF"/>
            </w:tcBorders>
          </w:tcPr>
          <w:p>
            <w:pPr>
              <w:spacing w:after="0"/>
              <w:rPr>
                <w:sz w:val="21"/>
                <w:szCs w:val="21"/>
                <w:color w:val="auto"/>
              </w:rPr>
            </w:pPr>
          </w:p>
        </w:tc>
        <w:tc>
          <w:tcPr>
            <w:tcW w:w="20" w:type="dxa"/>
            <w:vAlign w:val="bottom"/>
            <w:tcBorders>
              <w:top w:val="single" w:sz="8" w:color="CCEEFF"/>
            </w:tcBorders>
          </w:tcPr>
          <w:p>
            <w:pPr>
              <w:spacing w:after="0"/>
              <w:rPr>
                <w:sz w:val="21"/>
                <w:szCs w:val="21"/>
                <w:color w:val="auto"/>
              </w:rPr>
            </w:pPr>
          </w:p>
        </w:tc>
        <w:tc>
          <w:tcPr>
            <w:tcW w:w="260" w:type="dxa"/>
            <w:vAlign w:val="bottom"/>
            <w:tcBorders>
              <w:top w:val="single" w:sz="8" w:color="CCEEFF"/>
            </w:tcBorders>
          </w:tcPr>
          <w:p>
            <w:pPr>
              <w:spacing w:after="0"/>
              <w:rPr>
                <w:sz w:val="21"/>
                <w:szCs w:val="21"/>
                <w:color w:val="auto"/>
              </w:rPr>
            </w:pPr>
          </w:p>
        </w:tc>
        <w:tc>
          <w:tcPr>
            <w:tcW w:w="80" w:type="dxa"/>
            <w:vAlign w:val="bottom"/>
            <w:tcBorders>
              <w:top w:val="single" w:sz="8" w:color="CCEEFF"/>
            </w:tcBorders>
          </w:tcPr>
          <w:p>
            <w:pPr>
              <w:spacing w:after="0"/>
              <w:rPr>
                <w:sz w:val="21"/>
                <w:szCs w:val="21"/>
                <w:color w:val="auto"/>
              </w:rPr>
            </w:pPr>
          </w:p>
        </w:tc>
        <w:tc>
          <w:tcPr>
            <w:tcW w:w="20" w:type="dxa"/>
            <w:vAlign w:val="bottom"/>
            <w:tcBorders>
              <w:top w:val="single" w:sz="8" w:color="CCEEFF"/>
            </w:tcBorders>
          </w:tcPr>
          <w:p>
            <w:pPr>
              <w:spacing w:after="0"/>
              <w:rPr>
                <w:sz w:val="21"/>
                <w:szCs w:val="21"/>
                <w:color w:val="auto"/>
              </w:rPr>
            </w:pPr>
          </w:p>
        </w:tc>
        <w:tc>
          <w:tcPr>
            <w:tcW w:w="380" w:type="dxa"/>
            <w:vAlign w:val="bottom"/>
            <w:tcBorders>
              <w:top w:val="single" w:sz="8" w:color="CCEEFF"/>
            </w:tcBorders>
          </w:tcPr>
          <w:p>
            <w:pPr>
              <w:spacing w:after="0"/>
              <w:rPr>
                <w:sz w:val="21"/>
                <w:szCs w:val="21"/>
                <w:color w:val="auto"/>
              </w:rPr>
            </w:pPr>
          </w:p>
        </w:tc>
        <w:tc>
          <w:tcPr>
            <w:tcW w:w="40" w:type="dxa"/>
            <w:vAlign w:val="bottom"/>
            <w:tcBorders>
              <w:top w:val="single" w:sz="8" w:color="CCEEFF"/>
            </w:tcBorders>
          </w:tcPr>
          <w:p>
            <w:pPr>
              <w:spacing w:after="0"/>
              <w:rPr>
                <w:sz w:val="21"/>
                <w:szCs w:val="21"/>
                <w:color w:val="auto"/>
              </w:rPr>
            </w:pPr>
          </w:p>
        </w:tc>
        <w:tc>
          <w:tcPr>
            <w:tcW w:w="80" w:type="dxa"/>
            <w:vAlign w:val="bottom"/>
            <w:tcBorders>
              <w:top w:val="single" w:sz="8" w:color="CCEEFF"/>
            </w:tcBorders>
          </w:tcPr>
          <w:p>
            <w:pPr>
              <w:spacing w:after="0"/>
              <w:rPr>
                <w:sz w:val="21"/>
                <w:szCs w:val="21"/>
                <w:color w:val="auto"/>
              </w:rPr>
            </w:pPr>
          </w:p>
        </w:tc>
        <w:tc>
          <w:tcPr>
            <w:tcW w:w="100" w:type="dxa"/>
            <w:vAlign w:val="bottom"/>
            <w:tcBorders>
              <w:top w:val="single" w:sz="8" w:color="CCEEFF"/>
            </w:tcBorders>
          </w:tcPr>
          <w:p>
            <w:pPr>
              <w:spacing w:after="0"/>
              <w:rPr>
                <w:sz w:val="21"/>
                <w:szCs w:val="21"/>
                <w:color w:val="auto"/>
              </w:rPr>
            </w:pPr>
          </w:p>
        </w:tc>
        <w:tc>
          <w:tcPr>
            <w:tcW w:w="1580" w:type="dxa"/>
            <w:vAlign w:val="bottom"/>
            <w:tcBorders>
              <w:top w:val="single" w:sz="8" w:color="CCEEFF"/>
            </w:tcBorders>
          </w:tcPr>
          <w:p>
            <w:pPr>
              <w:spacing w:after="0"/>
              <w:rPr>
                <w:sz w:val="21"/>
                <w:szCs w:val="21"/>
                <w:color w:val="auto"/>
              </w:rPr>
            </w:pPr>
          </w:p>
        </w:tc>
        <w:tc>
          <w:tcPr>
            <w:tcW w:w="1740" w:type="dxa"/>
            <w:vAlign w:val="bottom"/>
            <w:tcBorders>
              <w:top w:val="single" w:sz="8" w:color="CCEEFF"/>
            </w:tcBorders>
          </w:tcPr>
          <w:p>
            <w:pPr>
              <w:spacing w:after="0"/>
              <w:rPr>
                <w:sz w:val="21"/>
                <w:szCs w:val="21"/>
                <w:color w:val="auto"/>
              </w:rPr>
            </w:pPr>
          </w:p>
        </w:tc>
        <w:tc>
          <w:tcPr>
            <w:tcW w:w="380" w:type="dxa"/>
            <w:vAlign w:val="bottom"/>
            <w:tcBorders>
              <w:top w:val="single" w:sz="8" w:color="CCEEFF"/>
            </w:tcBorders>
          </w:tcPr>
          <w:p>
            <w:pPr>
              <w:spacing w:after="0"/>
              <w:rPr>
                <w:sz w:val="21"/>
                <w:szCs w:val="21"/>
                <w:color w:val="auto"/>
              </w:rPr>
            </w:pPr>
          </w:p>
        </w:tc>
        <w:tc>
          <w:tcPr>
            <w:tcW w:w="120" w:type="dxa"/>
            <w:vAlign w:val="bottom"/>
            <w:tcBorders>
              <w:top w:val="single" w:sz="8" w:color="CCEEFF"/>
            </w:tcBorders>
          </w:tcPr>
          <w:p>
            <w:pPr>
              <w:spacing w:after="0"/>
              <w:rPr>
                <w:sz w:val="21"/>
                <w:szCs w:val="21"/>
                <w:color w:val="auto"/>
              </w:rPr>
            </w:pPr>
          </w:p>
        </w:tc>
      </w:tr>
      <w:tr>
        <w:trPr>
          <w:trHeight w:val="210"/>
        </w:trPr>
        <w:tc>
          <w:tcPr>
            <w:tcW w:w="100" w:type="dxa"/>
            <w:vAlign w:val="bottom"/>
            <w:shd w:val="clear" w:color="auto" w:fill="CCEEFF"/>
          </w:tcPr>
          <w:p>
            <w:pPr>
              <w:spacing w:after="0"/>
              <w:rPr>
                <w:sz w:val="18"/>
                <w:szCs w:val="18"/>
                <w:color w:val="auto"/>
              </w:rPr>
            </w:pPr>
          </w:p>
        </w:tc>
        <w:tc>
          <w:tcPr>
            <w:tcW w:w="660" w:type="dxa"/>
            <w:vAlign w:val="bottom"/>
            <w:tcBorders>
              <w:right w:val="single" w:sz="8" w:color="CCEEFF"/>
            </w:tcBorders>
            <w:shd w:val="clear" w:color="auto" w:fill="CCEEFF"/>
          </w:tcPr>
          <w:p>
            <w:pPr>
              <w:spacing w:after="0" w:line="189" w:lineRule="exact"/>
              <w:rPr>
                <w:rFonts w:ascii="Arial" w:cs="Arial" w:eastAsia="Arial" w:hAnsi="Arial"/>
                <w:sz w:val="20"/>
                <w:szCs w:val="20"/>
                <w:color w:val="0000EE"/>
              </w:rPr>
            </w:pPr>
            <w:hyperlink w:anchor="page42">
              <w:r>
                <w:rPr>
                  <w:rFonts w:ascii="Arial" w:cs="Arial" w:eastAsia="Arial" w:hAnsi="Arial"/>
                  <w:sz w:val="20"/>
                  <w:szCs w:val="20"/>
                  <w:color w:val="0000EE"/>
                </w:rPr>
                <w:t>Item 2.</w:t>
              </w:r>
            </w:hyperlink>
          </w:p>
        </w:tc>
        <w:tc>
          <w:tcPr>
            <w:tcW w:w="8720" w:type="dxa"/>
            <w:vAlign w:val="bottom"/>
            <w:gridSpan w:val="28"/>
            <w:shd w:val="clear" w:color="auto" w:fill="CCEEFF"/>
          </w:tcPr>
          <w:p>
            <w:pPr>
              <w:spacing w:after="0" w:line="189" w:lineRule="exact"/>
              <w:rPr>
                <w:rFonts w:ascii="Arial" w:cs="Arial" w:eastAsia="Arial" w:hAnsi="Arial"/>
                <w:sz w:val="20"/>
                <w:szCs w:val="20"/>
                <w:color w:val="0000EE"/>
              </w:rPr>
            </w:pPr>
            <w:hyperlink w:anchor="page42">
              <w:r>
                <w:rPr>
                  <w:rFonts w:ascii="Arial" w:cs="Arial" w:eastAsia="Arial" w:hAnsi="Arial"/>
                  <w:sz w:val="20"/>
                  <w:szCs w:val="20"/>
                  <w:color w:val="0000EE"/>
                </w:rPr>
                <w:t>Unregistered Sales of Equity Securities and Use of Proceeds</w:t>
              </w:r>
            </w:hyperlink>
          </w:p>
        </w:tc>
        <w:tc>
          <w:tcPr>
            <w:tcW w:w="500" w:type="dxa"/>
            <w:vAlign w:val="bottom"/>
            <w:gridSpan w:val="2"/>
            <w:shd w:val="clear" w:color="auto" w:fill="CCEEFF"/>
          </w:tcPr>
          <w:p>
            <w:pPr>
              <w:jc w:val="right"/>
              <w:ind w:right="40"/>
              <w:spacing w:after="0" w:line="189" w:lineRule="exact"/>
              <w:rPr>
                <w:sz w:val="20"/>
                <w:szCs w:val="20"/>
                <w:color w:val="auto"/>
              </w:rPr>
            </w:pPr>
            <w:r>
              <w:rPr>
                <w:rFonts w:ascii="Arial" w:cs="Arial" w:eastAsia="Arial" w:hAnsi="Arial"/>
                <w:sz w:val="20"/>
                <w:szCs w:val="20"/>
                <w:color w:val="auto"/>
              </w:rPr>
              <w:t>40</w:t>
            </w:r>
          </w:p>
        </w:tc>
      </w:tr>
      <w:tr>
        <w:trPr>
          <w:trHeight w:val="243"/>
        </w:trPr>
        <w:tc>
          <w:tcPr>
            <w:tcW w:w="100" w:type="dxa"/>
            <w:vAlign w:val="bottom"/>
            <w:tcBorders>
              <w:top w:val="single" w:sz="8" w:color="CCEEFF"/>
            </w:tcBorders>
          </w:tcPr>
          <w:p>
            <w:pPr>
              <w:spacing w:after="0"/>
              <w:rPr>
                <w:sz w:val="21"/>
                <w:szCs w:val="21"/>
                <w:color w:val="auto"/>
              </w:rPr>
            </w:pPr>
          </w:p>
        </w:tc>
        <w:tc>
          <w:tcPr>
            <w:tcW w:w="660" w:type="dxa"/>
            <w:vAlign w:val="bottom"/>
            <w:tcBorders>
              <w:top w:val="single" w:sz="8" w:color="0000EE"/>
            </w:tcBorders>
          </w:tcPr>
          <w:p>
            <w:pPr>
              <w:spacing w:after="0"/>
              <w:rPr>
                <w:sz w:val="21"/>
                <w:szCs w:val="21"/>
                <w:color w:val="auto"/>
              </w:rPr>
            </w:pPr>
          </w:p>
        </w:tc>
        <w:tc>
          <w:tcPr>
            <w:tcW w:w="180" w:type="dxa"/>
            <w:vAlign w:val="bottom"/>
            <w:tcBorders>
              <w:top w:val="single" w:sz="8" w:color="0000EE"/>
            </w:tcBorders>
          </w:tcPr>
          <w:p>
            <w:pPr>
              <w:spacing w:after="0"/>
              <w:rPr>
                <w:sz w:val="21"/>
                <w:szCs w:val="21"/>
                <w:color w:val="auto"/>
              </w:rPr>
            </w:pPr>
          </w:p>
        </w:tc>
        <w:tc>
          <w:tcPr>
            <w:tcW w:w="140" w:type="dxa"/>
            <w:vAlign w:val="bottom"/>
            <w:tcBorders>
              <w:top w:val="single" w:sz="8" w:color="0000EE"/>
            </w:tcBorders>
          </w:tcPr>
          <w:p>
            <w:pPr>
              <w:spacing w:after="0"/>
              <w:rPr>
                <w:sz w:val="21"/>
                <w:szCs w:val="21"/>
                <w:color w:val="auto"/>
              </w:rPr>
            </w:pPr>
          </w:p>
        </w:tc>
        <w:tc>
          <w:tcPr>
            <w:tcW w:w="340" w:type="dxa"/>
            <w:vAlign w:val="bottom"/>
            <w:tcBorders>
              <w:top w:val="single" w:sz="8" w:color="0000EE"/>
            </w:tcBorders>
          </w:tcPr>
          <w:p>
            <w:pPr>
              <w:spacing w:after="0"/>
              <w:rPr>
                <w:sz w:val="21"/>
                <w:szCs w:val="21"/>
                <w:color w:val="auto"/>
              </w:rPr>
            </w:pPr>
          </w:p>
        </w:tc>
        <w:tc>
          <w:tcPr>
            <w:tcW w:w="480" w:type="dxa"/>
            <w:vAlign w:val="bottom"/>
            <w:tcBorders>
              <w:top w:val="single" w:sz="8" w:color="0000EE"/>
            </w:tcBorders>
          </w:tcPr>
          <w:p>
            <w:pPr>
              <w:spacing w:after="0"/>
              <w:rPr>
                <w:sz w:val="21"/>
                <w:szCs w:val="21"/>
                <w:color w:val="auto"/>
              </w:rPr>
            </w:pPr>
          </w:p>
        </w:tc>
        <w:tc>
          <w:tcPr>
            <w:tcW w:w="340" w:type="dxa"/>
            <w:vAlign w:val="bottom"/>
            <w:tcBorders>
              <w:top w:val="single" w:sz="8" w:color="0000EE"/>
            </w:tcBorders>
          </w:tcPr>
          <w:p>
            <w:pPr>
              <w:spacing w:after="0"/>
              <w:rPr>
                <w:sz w:val="21"/>
                <w:szCs w:val="21"/>
                <w:color w:val="auto"/>
              </w:rPr>
            </w:pPr>
          </w:p>
        </w:tc>
        <w:tc>
          <w:tcPr>
            <w:tcW w:w="240" w:type="dxa"/>
            <w:vAlign w:val="bottom"/>
            <w:tcBorders>
              <w:top w:val="single" w:sz="8" w:color="0000EE"/>
            </w:tcBorders>
          </w:tcPr>
          <w:p>
            <w:pPr>
              <w:spacing w:after="0"/>
              <w:rPr>
                <w:sz w:val="21"/>
                <w:szCs w:val="21"/>
                <w:color w:val="auto"/>
              </w:rPr>
            </w:pPr>
          </w:p>
        </w:tc>
        <w:tc>
          <w:tcPr>
            <w:tcW w:w="240" w:type="dxa"/>
            <w:vAlign w:val="bottom"/>
            <w:tcBorders>
              <w:top w:val="single" w:sz="8" w:color="0000EE"/>
            </w:tcBorders>
          </w:tcPr>
          <w:p>
            <w:pPr>
              <w:spacing w:after="0"/>
              <w:rPr>
                <w:sz w:val="21"/>
                <w:szCs w:val="21"/>
                <w:color w:val="auto"/>
              </w:rPr>
            </w:pPr>
          </w:p>
        </w:tc>
        <w:tc>
          <w:tcPr>
            <w:tcW w:w="920" w:type="dxa"/>
            <w:vAlign w:val="bottom"/>
            <w:tcBorders>
              <w:top w:val="single" w:sz="8" w:color="0000EE"/>
            </w:tcBorders>
          </w:tcPr>
          <w:p>
            <w:pPr>
              <w:spacing w:after="0"/>
              <w:rPr>
                <w:sz w:val="21"/>
                <w:szCs w:val="21"/>
                <w:color w:val="auto"/>
              </w:rPr>
            </w:pPr>
          </w:p>
        </w:tc>
        <w:tc>
          <w:tcPr>
            <w:tcW w:w="160" w:type="dxa"/>
            <w:vAlign w:val="bottom"/>
            <w:tcBorders>
              <w:top w:val="single" w:sz="8" w:color="0000EE"/>
            </w:tcBorders>
          </w:tcPr>
          <w:p>
            <w:pPr>
              <w:spacing w:after="0"/>
              <w:rPr>
                <w:sz w:val="21"/>
                <w:szCs w:val="21"/>
                <w:color w:val="auto"/>
              </w:rPr>
            </w:pPr>
          </w:p>
        </w:tc>
        <w:tc>
          <w:tcPr>
            <w:tcW w:w="120" w:type="dxa"/>
            <w:vAlign w:val="bottom"/>
            <w:tcBorders>
              <w:top w:val="single" w:sz="8" w:color="0000EE"/>
            </w:tcBorders>
          </w:tcPr>
          <w:p>
            <w:pPr>
              <w:spacing w:after="0"/>
              <w:rPr>
                <w:sz w:val="21"/>
                <w:szCs w:val="21"/>
                <w:color w:val="auto"/>
              </w:rPr>
            </w:pPr>
          </w:p>
        </w:tc>
        <w:tc>
          <w:tcPr>
            <w:tcW w:w="440" w:type="dxa"/>
            <w:vAlign w:val="bottom"/>
            <w:tcBorders>
              <w:top w:val="single" w:sz="8" w:color="0000EE"/>
            </w:tcBorders>
          </w:tcPr>
          <w:p>
            <w:pPr>
              <w:spacing w:after="0"/>
              <w:rPr>
                <w:sz w:val="21"/>
                <w:szCs w:val="21"/>
                <w:color w:val="auto"/>
              </w:rPr>
            </w:pPr>
          </w:p>
        </w:tc>
        <w:tc>
          <w:tcPr>
            <w:tcW w:w="180" w:type="dxa"/>
            <w:vAlign w:val="bottom"/>
            <w:tcBorders>
              <w:top w:val="single" w:sz="8" w:color="0000EE"/>
            </w:tcBorders>
          </w:tcPr>
          <w:p>
            <w:pPr>
              <w:spacing w:after="0"/>
              <w:rPr>
                <w:sz w:val="21"/>
                <w:szCs w:val="21"/>
                <w:color w:val="auto"/>
              </w:rPr>
            </w:pPr>
          </w:p>
        </w:tc>
        <w:tc>
          <w:tcPr>
            <w:tcW w:w="60" w:type="dxa"/>
            <w:vAlign w:val="bottom"/>
            <w:tcBorders>
              <w:top w:val="single" w:sz="8" w:color="0000EE"/>
            </w:tcBorders>
          </w:tcPr>
          <w:p>
            <w:pPr>
              <w:spacing w:after="0"/>
              <w:rPr>
                <w:sz w:val="21"/>
                <w:szCs w:val="21"/>
                <w:color w:val="auto"/>
              </w:rPr>
            </w:pPr>
          </w:p>
        </w:tc>
        <w:tc>
          <w:tcPr>
            <w:tcW w:w="340" w:type="dxa"/>
            <w:vAlign w:val="bottom"/>
            <w:tcBorders>
              <w:top w:val="single" w:sz="8" w:color="0000EE"/>
            </w:tcBorders>
          </w:tcPr>
          <w:p>
            <w:pPr>
              <w:spacing w:after="0"/>
              <w:rPr>
                <w:sz w:val="21"/>
                <w:szCs w:val="21"/>
                <w:color w:val="auto"/>
              </w:rPr>
            </w:pPr>
          </w:p>
        </w:tc>
        <w:tc>
          <w:tcPr>
            <w:tcW w:w="80" w:type="dxa"/>
            <w:vAlign w:val="bottom"/>
            <w:tcBorders>
              <w:top w:val="single" w:sz="8" w:color="0000EE"/>
            </w:tcBorders>
          </w:tcPr>
          <w:p>
            <w:pPr>
              <w:spacing w:after="0"/>
              <w:rPr>
                <w:sz w:val="21"/>
                <w:szCs w:val="21"/>
                <w:color w:val="auto"/>
              </w:rPr>
            </w:pPr>
          </w:p>
        </w:tc>
        <w:tc>
          <w:tcPr>
            <w:tcW w:w="80" w:type="dxa"/>
            <w:vAlign w:val="bottom"/>
            <w:tcBorders>
              <w:top w:val="single" w:sz="8" w:color="0000EE"/>
            </w:tcBorders>
          </w:tcPr>
          <w:p>
            <w:pPr>
              <w:spacing w:after="0"/>
              <w:rPr>
                <w:sz w:val="21"/>
                <w:szCs w:val="21"/>
                <w:color w:val="auto"/>
              </w:rPr>
            </w:pPr>
          </w:p>
        </w:tc>
        <w:tc>
          <w:tcPr>
            <w:tcW w:w="60" w:type="dxa"/>
            <w:vAlign w:val="bottom"/>
            <w:tcBorders>
              <w:top w:val="single" w:sz="8" w:color="0000EE"/>
            </w:tcBorders>
          </w:tcPr>
          <w:p>
            <w:pPr>
              <w:spacing w:after="0"/>
              <w:rPr>
                <w:sz w:val="21"/>
                <w:szCs w:val="21"/>
                <w:color w:val="auto"/>
              </w:rPr>
            </w:pPr>
          </w:p>
        </w:tc>
        <w:tc>
          <w:tcPr>
            <w:tcW w:w="20" w:type="dxa"/>
            <w:vAlign w:val="bottom"/>
            <w:tcBorders>
              <w:top w:val="single" w:sz="8" w:color="0000EE"/>
            </w:tcBorders>
          </w:tcPr>
          <w:p>
            <w:pPr>
              <w:spacing w:after="0"/>
              <w:rPr>
                <w:sz w:val="21"/>
                <w:szCs w:val="21"/>
                <w:color w:val="auto"/>
              </w:rPr>
            </w:pPr>
          </w:p>
        </w:tc>
        <w:tc>
          <w:tcPr>
            <w:tcW w:w="20" w:type="dxa"/>
            <w:vAlign w:val="bottom"/>
            <w:tcBorders>
              <w:top w:val="single" w:sz="8" w:color="0000EE"/>
            </w:tcBorders>
          </w:tcPr>
          <w:p>
            <w:pPr>
              <w:spacing w:after="0"/>
              <w:rPr>
                <w:sz w:val="21"/>
                <w:szCs w:val="21"/>
                <w:color w:val="auto"/>
              </w:rPr>
            </w:pPr>
          </w:p>
        </w:tc>
        <w:tc>
          <w:tcPr>
            <w:tcW w:w="260" w:type="dxa"/>
            <w:vAlign w:val="bottom"/>
            <w:tcBorders>
              <w:top w:val="single" w:sz="8" w:color="0000EE"/>
            </w:tcBorders>
          </w:tcPr>
          <w:p>
            <w:pPr>
              <w:spacing w:after="0"/>
              <w:rPr>
                <w:sz w:val="21"/>
                <w:szCs w:val="21"/>
                <w:color w:val="auto"/>
              </w:rPr>
            </w:pPr>
          </w:p>
        </w:tc>
        <w:tc>
          <w:tcPr>
            <w:tcW w:w="80" w:type="dxa"/>
            <w:vAlign w:val="bottom"/>
            <w:tcBorders>
              <w:top w:val="single" w:sz="8" w:color="0000EE"/>
            </w:tcBorders>
          </w:tcPr>
          <w:p>
            <w:pPr>
              <w:spacing w:after="0"/>
              <w:rPr>
                <w:sz w:val="21"/>
                <w:szCs w:val="21"/>
                <w:color w:val="auto"/>
              </w:rPr>
            </w:pPr>
          </w:p>
        </w:tc>
        <w:tc>
          <w:tcPr>
            <w:tcW w:w="20" w:type="dxa"/>
            <w:vAlign w:val="bottom"/>
            <w:tcBorders>
              <w:top w:val="single" w:sz="8" w:color="CCEEFF"/>
            </w:tcBorders>
          </w:tcPr>
          <w:p>
            <w:pPr>
              <w:spacing w:after="0"/>
              <w:rPr>
                <w:sz w:val="21"/>
                <w:szCs w:val="21"/>
                <w:color w:val="auto"/>
              </w:rPr>
            </w:pPr>
          </w:p>
        </w:tc>
        <w:tc>
          <w:tcPr>
            <w:tcW w:w="380" w:type="dxa"/>
            <w:vAlign w:val="bottom"/>
            <w:tcBorders>
              <w:top w:val="single" w:sz="8" w:color="CCEEFF"/>
            </w:tcBorders>
          </w:tcPr>
          <w:p>
            <w:pPr>
              <w:spacing w:after="0"/>
              <w:rPr>
                <w:sz w:val="21"/>
                <w:szCs w:val="21"/>
                <w:color w:val="auto"/>
              </w:rPr>
            </w:pPr>
          </w:p>
        </w:tc>
        <w:tc>
          <w:tcPr>
            <w:tcW w:w="40" w:type="dxa"/>
            <w:vAlign w:val="bottom"/>
            <w:tcBorders>
              <w:top w:val="single" w:sz="8" w:color="CCEEFF"/>
            </w:tcBorders>
          </w:tcPr>
          <w:p>
            <w:pPr>
              <w:spacing w:after="0"/>
              <w:rPr>
                <w:sz w:val="21"/>
                <w:szCs w:val="21"/>
                <w:color w:val="auto"/>
              </w:rPr>
            </w:pPr>
          </w:p>
        </w:tc>
        <w:tc>
          <w:tcPr>
            <w:tcW w:w="80" w:type="dxa"/>
            <w:vAlign w:val="bottom"/>
            <w:tcBorders>
              <w:top w:val="single" w:sz="8" w:color="CCEEFF"/>
            </w:tcBorders>
          </w:tcPr>
          <w:p>
            <w:pPr>
              <w:spacing w:after="0"/>
              <w:rPr>
                <w:sz w:val="21"/>
                <w:szCs w:val="21"/>
                <w:color w:val="auto"/>
              </w:rPr>
            </w:pPr>
          </w:p>
        </w:tc>
        <w:tc>
          <w:tcPr>
            <w:tcW w:w="100" w:type="dxa"/>
            <w:vAlign w:val="bottom"/>
            <w:tcBorders>
              <w:top w:val="single" w:sz="8" w:color="CCEEFF"/>
            </w:tcBorders>
          </w:tcPr>
          <w:p>
            <w:pPr>
              <w:spacing w:after="0"/>
              <w:rPr>
                <w:sz w:val="21"/>
                <w:szCs w:val="21"/>
                <w:color w:val="auto"/>
              </w:rPr>
            </w:pPr>
          </w:p>
        </w:tc>
        <w:tc>
          <w:tcPr>
            <w:tcW w:w="1580" w:type="dxa"/>
            <w:vAlign w:val="bottom"/>
            <w:tcBorders>
              <w:top w:val="single" w:sz="8" w:color="CCEEFF"/>
            </w:tcBorders>
          </w:tcPr>
          <w:p>
            <w:pPr>
              <w:spacing w:after="0"/>
              <w:rPr>
                <w:sz w:val="21"/>
                <w:szCs w:val="21"/>
                <w:color w:val="auto"/>
              </w:rPr>
            </w:pPr>
          </w:p>
        </w:tc>
        <w:tc>
          <w:tcPr>
            <w:tcW w:w="1740" w:type="dxa"/>
            <w:vAlign w:val="bottom"/>
            <w:tcBorders>
              <w:top w:val="single" w:sz="8" w:color="CCEEFF"/>
            </w:tcBorders>
          </w:tcPr>
          <w:p>
            <w:pPr>
              <w:spacing w:after="0"/>
              <w:rPr>
                <w:sz w:val="21"/>
                <w:szCs w:val="21"/>
                <w:color w:val="auto"/>
              </w:rPr>
            </w:pPr>
          </w:p>
        </w:tc>
        <w:tc>
          <w:tcPr>
            <w:tcW w:w="380" w:type="dxa"/>
            <w:vAlign w:val="bottom"/>
            <w:tcBorders>
              <w:top w:val="single" w:sz="8" w:color="CCEEFF"/>
            </w:tcBorders>
          </w:tcPr>
          <w:p>
            <w:pPr>
              <w:spacing w:after="0"/>
              <w:rPr>
                <w:sz w:val="21"/>
                <w:szCs w:val="21"/>
                <w:color w:val="auto"/>
              </w:rPr>
            </w:pPr>
          </w:p>
        </w:tc>
        <w:tc>
          <w:tcPr>
            <w:tcW w:w="120" w:type="dxa"/>
            <w:vAlign w:val="bottom"/>
            <w:tcBorders>
              <w:top w:val="single" w:sz="8" w:color="CCEEFF"/>
            </w:tcBorders>
          </w:tcPr>
          <w:p>
            <w:pPr>
              <w:spacing w:after="0"/>
              <w:rPr>
                <w:sz w:val="21"/>
                <w:szCs w:val="21"/>
                <w:color w:val="auto"/>
              </w:rPr>
            </w:pPr>
          </w:p>
        </w:tc>
      </w:tr>
      <w:tr>
        <w:trPr>
          <w:trHeight w:val="210"/>
        </w:trPr>
        <w:tc>
          <w:tcPr>
            <w:tcW w:w="100" w:type="dxa"/>
            <w:vAlign w:val="bottom"/>
            <w:shd w:val="clear" w:color="auto" w:fill="CCEEFF"/>
          </w:tcPr>
          <w:p>
            <w:pPr>
              <w:spacing w:after="0"/>
              <w:rPr>
                <w:sz w:val="18"/>
                <w:szCs w:val="18"/>
                <w:color w:val="auto"/>
              </w:rPr>
            </w:pPr>
          </w:p>
        </w:tc>
        <w:tc>
          <w:tcPr>
            <w:tcW w:w="660" w:type="dxa"/>
            <w:vAlign w:val="bottom"/>
            <w:tcBorders>
              <w:right w:val="single" w:sz="8" w:color="CCEEFF"/>
            </w:tcBorders>
            <w:shd w:val="clear" w:color="auto" w:fill="CCEEFF"/>
          </w:tcPr>
          <w:p>
            <w:pPr>
              <w:spacing w:after="0" w:line="189" w:lineRule="exact"/>
              <w:rPr>
                <w:rFonts w:ascii="Arial" w:cs="Arial" w:eastAsia="Arial" w:hAnsi="Arial"/>
                <w:sz w:val="20"/>
                <w:szCs w:val="20"/>
                <w:color w:val="0000EE"/>
              </w:rPr>
            </w:pPr>
            <w:hyperlink w:anchor="page42">
              <w:r>
                <w:rPr>
                  <w:rFonts w:ascii="Arial" w:cs="Arial" w:eastAsia="Arial" w:hAnsi="Arial"/>
                  <w:sz w:val="20"/>
                  <w:szCs w:val="20"/>
                  <w:color w:val="0000EE"/>
                </w:rPr>
                <w:t>Item 6.</w:t>
              </w:r>
            </w:hyperlink>
          </w:p>
        </w:tc>
        <w:tc>
          <w:tcPr>
            <w:tcW w:w="8720" w:type="dxa"/>
            <w:vAlign w:val="bottom"/>
            <w:gridSpan w:val="28"/>
            <w:shd w:val="clear" w:color="auto" w:fill="CCEEFF"/>
          </w:tcPr>
          <w:p>
            <w:pPr>
              <w:spacing w:after="0" w:line="189" w:lineRule="exact"/>
              <w:rPr>
                <w:rFonts w:ascii="Arial" w:cs="Arial" w:eastAsia="Arial" w:hAnsi="Arial"/>
                <w:sz w:val="20"/>
                <w:szCs w:val="20"/>
                <w:color w:val="0000EE"/>
              </w:rPr>
            </w:pPr>
            <w:hyperlink w:anchor="page42">
              <w:r>
                <w:rPr>
                  <w:rFonts w:ascii="Arial" w:cs="Arial" w:eastAsia="Arial" w:hAnsi="Arial"/>
                  <w:sz w:val="20"/>
                  <w:szCs w:val="20"/>
                  <w:color w:val="0000EE"/>
                </w:rPr>
                <w:t>Exhibits</w:t>
              </w:r>
            </w:hyperlink>
          </w:p>
        </w:tc>
        <w:tc>
          <w:tcPr>
            <w:tcW w:w="500" w:type="dxa"/>
            <w:vAlign w:val="bottom"/>
            <w:gridSpan w:val="2"/>
            <w:shd w:val="clear" w:color="auto" w:fill="CCEEFF"/>
          </w:tcPr>
          <w:p>
            <w:pPr>
              <w:jc w:val="right"/>
              <w:ind w:right="40"/>
              <w:spacing w:after="0" w:line="189" w:lineRule="exact"/>
              <w:rPr>
                <w:sz w:val="20"/>
                <w:szCs w:val="20"/>
                <w:color w:val="auto"/>
              </w:rPr>
            </w:pPr>
            <w:r>
              <w:rPr>
                <w:rFonts w:ascii="Arial" w:cs="Arial" w:eastAsia="Arial" w:hAnsi="Arial"/>
                <w:sz w:val="20"/>
                <w:szCs w:val="20"/>
                <w:color w:val="auto"/>
              </w:rPr>
              <w:t>40</w:t>
            </w:r>
          </w:p>
        </w:tc>
      </w:tr>
      <w:tr>
        <w:trPr>
          <w:trHeight w:val="432"/>
        </w:trPr>
        <w:tc>
          <w:tcPr>
            <w:tcW w:w="100" w:type="dxa"/>
            <w:vAlign w:val="bottom"/>
            <w:tcBorders>
              <w:top w:val="single" w:sz="8" w:color="CCEEFF"/>
            </w:tcBorders>
          </w:tcPr>
          <w:p>
            <w:pPr>
              <w:spacing w:after="0"/>
              <w:rPr>
                <w:sz w:val="24"/>
                <w:szCs w:val="24"/>
                <w:color w:val="auto"/>
              </w:rPr>
            </w:pPr>
          </w:p>
        </w:tc>
        <w:tc>
          <w:tcPr>
            <w:tcW w:w="1320" w:type="dxa"/>
            <w:vAlign w:val="bottom"/>
            <w:tcBorders>
              <w:top w:val="single" w:sz="8" w:color="0000EE"/>
            </w:tcBorders>
            <w:gridSpan w:val="4"/>
          </w:tcPr>
          <w:p>
            <w:pPr>
              <w:spacing w:after="0"/>
              <w:rPr>
                <w:rFonts w:ascii="Arial" w:cs="Arial" w:eastAsia="Arial" w:hAnsi="Arial"/>
                <w:sz w:val="20"/>
                <w:szCs w:val="20"/>
                <w:color w:val="0000EE"/>
              </w:rPr>
            </w:pPr>
            <w:hyperlink w:anchor="page43">
              <w:r>
                <w:rPr>
                  <w:rFonts w:ascii="Arial" w:cs="Arial" w:eastAsia="Arial" w:hAnsi="Arial"/>
                  <w:sz w:val="20"/>
                  <w:szCs w:val="20"/>
                  <w:color w:val="0000EE"/>
                </w:rPr>
                <w:t>Signatures</w:t>
              </w:r>
            </w:hyperlink>
          </w:p>
        </w:tc>
        <w:tc>
          <w:tcPr>
            <w:tcW w:w="8060" w:type="dxa"/>
            <w:vAlign w:val="bottom"/>
            <w:tcBorders>
              <w:top w:val="single" w:sz="8" w:color="CCEEFF"/>
            </w:tcBorders>
            <w:gridSpan w:val="25"/>
          </w:tcPr>
          <w:p>
            <w:pPr>
              <w:spacing w:after="0"/>
              <w:rPr>
                <w:sz w:val="24"/>
                <w:szCs w:val="24"/>
                <w:color w:val="auto"/>
              </w:rPr>
            </w:pPr>
          </w:p>
        </w:tc>
        <w:tc>
          <w:tcPr>
            <w:tcW w:w="500" w:type="dxa"/>
            <w:vAlign w:val="bottom"/>
            <w:tcBorders>
              <w:top w:val="single" w:sz="8" w:color="CCEEFF"/>
            </w:tcBorders>
            <w:gridSpan w:val="2"/>
          </w:tcPr>
          <w:p>
            <w:pPr>
              <w:jc w:val="right"/>
              <w:ind w:right="40"/>
              <w:spacing w:after="0"/>
              <w:rPr>
                <w:sz w:val="20"/>
                <w:szCs w:val="20"/>
                <w:color w:val="auto"/>
              </w:rPr>
            </w:pPr>
            <w:r>
              <w:rPr>
                <w:rFonts w:ascii="Arial" w:cs="Arial" w:eastAsia="Arial" w:hAnsi="Arial"/>
                <w:sz w:val="20"/>
                <w:szCs w:val="20"/>
                <w:color w:val="auto"/>
              </w:rPr>
              <w:t>41</w:t>
            </w:r>
          </w:p>
        </w:tc>
      </w:tr>
      <w:tr>
        <w:trPr>
          <w:trHeight w:val="20"/>
        </w:trPr>
        <w:tc>
          <w:tcPr>
            <w:tcW w:w="100" w:type="dxa"/>
            <w:vAlign w:val="bottom"/>
          </w:tcPr>
          <w:p>
            <w:pPr>
              <w:spacing w:after="0" w:line="20" w:lineRule="exact"/>
              <w:rPr>
                <w:sz w:val="1"/>
                <w:szCs w:val="1"/>
                <w:color w:val="auto"/>
              </w:rPr>
            </w:pPr>
          </w:p>
        </w:tc>
        <w:tc>
          <w:tcPr>
            <w:tcW w:w="66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360"/>
        <w:spacing w:after="0"/>
        <w:rPr>
          <w:sz w:val="20"/>
          <w:szCs w:val="20"/>
          <w:color w:val="auto"/>
        </w:rPr>
      </w:pPr>
      <w:r>
        <w:rPr>
          <w:rFonts w:ascii="Arial" w:cs="Arial" w:eastAsia="Arial" w:hAnsi="Arial"/>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63500</wp:posOffset>
            </wp:positionV>
            <wp:extent cx="6156960" cy="514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156960" cy="51435"/>
                    </a:xfrm>
                    <a:prstGeom prst="rect">
                      <a:avLst/>
                    </a:prstGeom>
                    <a:noFill/>
                  </pic:spPr>
                </pic:pic>
              </a:graphicData>
            </a:graphic>
          </wp:anchor>
        </w:drawing>
      </w:r>
    </w:p>
    <w:p>
      <w:pPr>
        <w:sectPr>
          <w:pgSz w:w="11900" w:h="16838" w:orient="portrait"/>
          <w:cols w:equalWidth="0" w:num="1">
            <w:col w:w="10000"/>
          </w:cols>
          <w:pgMar w:left="1140" w:top="118" w:right="759" w:bottom="1440" w:gutter="0" w:footer="0" w:header="0"/>
        </w:sectPr>
      </w:pPr>
    </w:p>
    <w:bookmarkStart w:id="2" w:name="page3"/>
    <w:bookmarkEnd w:id="2"/>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9" w:lineRule="exact"/>
        <w:rPr>
          <w:sz w:val="20"/>
          <w:szCs w:val="20"/>
          <w:color w:val="auto"/>
        </w:rPr>
      </w:pPr>
    </w:p>
    <w:p>
      <w:pPr>
        <w:ind w:left="2680"/>
        <w:spacing w:after="0"/>
        <w:rPr>
          <w:sz w:val="20"/>
          <w:szCs w:val="20"/>
          <w:color w:val="auto"/>
        </w:rPr>
      </w:pPr>
      <w:r>
        <w:rPr>
          <w:rFonts w:ascii="Arial" w:cs="Arial" w:eastAsia="Arial" w:hAnsi="Arial"/>
          <w:sz w:val="22"/>
          <w:szCs w:val="22"/>
          <w:color w:val="auto"/>
        </w:rPr>
        <w:t>AQUA AMERICA, INC. AND SUBSIDIARIES</w:t>
      </w:r>
    </w:p>
    <w:p>
      <w:pPr>
        <w:spacing w:after="0" w:line="102" w:lineRule="exact"/>
        <w:rPr>
          <w:sz w:val="20"/>
          <w:szCs w:val="20"/>
          <w:color w:val="auto"/>
        </w:rPr>
      </w:pPr>
    </w:p>
    <w:p>
      <w:pPr>
        <w:ind w:left="3020"/>
        <w:spacing w:after="0"/>
        <w:rPr>
          <w:sz w:val="20"/>
          <w:szCs w:val="20"/>
          <w:color w:val="auto"/>
        </w:rPr>
      </w:pPr>
      <w:r>
        <w:rPr>
          <w:rFonts w:ascii="Arial" w:cs="Arial" w:eastAsia="Arial" w:hAnsi="Arial"/>
          <w:sz w:val="22"/>
          <w:szCs w:val="22"/>
          <w:color w:val="auto"/>
        </w:rPr>
        <w:t>CONSOLIDATED BALANCE SHEETS</w:t>
      </w:r>
    </w:p>
    <w:p>
      <w:pPr>
        <w:jc w:val="center"/>
        <w:ind w:right="40"/>
        <w:spacing w:after="0" w:line="192" w:lineRule="auto"/>
        <w:rPr>
          <w:sz w:val="20"/>
          <w:szCs w:val="20"/>
          <w:color w:val="auto"/>
        </w:rPr>
      </w:pPr>
      <w:r>
        <w:rPr>
          <w:rFonts w:ascii="Arial" w:cs="Arial" w:eastAsia="Arial" w:hAnsi="Arial"/>
          <w:sz w:val="22"/>
          <w:szCs w:val="22"/>
          <w:color w:val="auto"/>
        </w:rPr>
        <w:t>(In thousands of dollars, except per share amounts)</w:t>
      </w:r>
    </w:p>
    <w:p>
      <w:pPr>
        <w:jc w:val="center"/>
        <w:spacing w:after="0"/>
        <w:rPr>
          <w:sz w:val="20"/>
          <w:szCs w:val="20"/>
          <w:color w:val="auto"/>
        </w:rPr>
      </w:pPr>
      <w:r>
        <w:rPr>
          <w:rFonts w:ascii="Arial" w:cs="Arial" w:eastAsia="Arial" w:hAnsi="Arial"/>
          <w:sz w:val="22"/>
          <w:szCs w:val="22"/>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20" w:type="dxa"/>
            <w:vAlign w:val="bottom"/>
          </w:tcPr>
          <w:p>
            <w:pPr>
              <w:spacing w:after="0"/>
              <w:rPr>
                <w:sz w:val="13"/>
                <w:szCs w:val="13"/>
                <w:color w:val="auto"/>
              </w:rPr>
            </w:pPr>
          </w:p>
        </w:tc>
        <w:tc>
          <w:tcPr>
            <w:tcW w:w="7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40" w:type="dxa"/>
            <w:vAlign w:val="bottom"/>
            <w:gridSpan w:val="2"/>
          </w:tcPr>
          <w:p>
            <w:pPr>
              <w:ind w:left="40"/>
              <w:spacing w:after="0"/>
              <w:rPr>
                <w:sz w:val="20"/>
                <w:szCs w:val="20"/>
                <w:color w:val="auto"/>
              </w:rPr>
            </w:pPr>
            <w:r>
              <w:rPr>
                <w:rFonts w:ascii="Arial" w:cs="Arial" w:eastAsia="Arial" w:hAnsi="Arial"/>
                <w:sz w:val="13"/>
                <w:szCs w:val="13"/>
                <w:color w:val="auto"/>
              </w:rPr>
              <w:t>September 30,</w:t>
            </w:r>
          </w:p>
        </w:tc>
        <w:tc>
          <w:tcPr>
            <w:tcW w:w="200" w:type="dxa"/>
            <w:vAlign w:val="bottom"/>
          </w:tcPr>
          <w:p>
            <w:pPr>
              <w:spacing w:after="0"/>
              <w:rPr>
                <w:sz w:val="13"/>
                <w:szCs w:val="13"/>
                <w:color w:val="auto"/>
              </w:rPr>
            </w:pPr>
          </w:p>
        </w:tc>
        <w:tc>
          <w:tcPr>
            <w:tcW w:w="980" w:type="dxa"/>
            <w:vAlign w:val="bottom"/>
          </w:tcPr>
          <w:p>
            <w:pPr>
              <w:jc w:val="right"/>
              <w:ind w:right="177"/>
              <w:spacing w:after="0"/>
              <w:rPr>
                <w:sz w:val="20"/>
                <w:szCs w:val="20"/>
                <w:color w:val="auto"/>
              </w:rPr>
            </w:pPr>
            <w:r>
              <w:rPr>
                <w:rFonts w:ascii="Arial" w:cs="Arial" w:eastAsia="Arial" w:hAnsi="Arial"/>
                <w:sz w:val="13"/>
                <w:szCs w:val="13"/>
                <w:color w:val="auto"/>
                <w:w w:val="88"/>
              </w:rPr>
              <w:t>December 31,</w:t>
            </w:r>
          </w:p>
        </w:tc>
      </w:tr>
      <w:tr>
        <w:trPr>
          <w:trHeight w:val="232"/>
        </w:trPr>
        <w:tc>
          <w:tcPr>
            <w:tcW w:w="20" w:type="dxa"/>
            <w:vAlign w:val="bottom"/>
          </w:tcPr>
          <w:p>
            <w:pPr>
              <w:spacing w:after="0"/>
              <w:rPr>
                <w:sz w:val="20"/>
                <w:szCs w:val="20"/>
                <w:color w:val="auto"/>
              </w:rPr>
            </w:pPr>
          </w:p>
        </w:tc>
        <w:tc>
          <w:tcPr>
            <w:tcW w:w="7120" w:type="dxa"/>
            <w:vAlign w:val="bottom"/>
            <w:tcBorders>
              <w:bottom w:val="single" w:sz="8" w:color="CCEEFF"/>
            </w:tcBorders>
          </w:tcPr>
          <w:p>
            <w:pPr>
              <w:ind w:left="3260"/>
              <w:spacing w:after="0"/>
              <w:rPr>
                <w:sz w:val="20"/>
                <w:szCs w:val="20"/>
                <w:color w:val="auto"/>
              </w:rPr>
            </w:pPr>
            <w:r>
              <w:rPr>
                <w:rFonts w:ascii="Arial" w:cs="Arial" w:eastAsia="Arial" w:hAnsi="Arial"/>
                <w:sz w:val="13"/>
                <w:szCs w:val="13"/>
                <w:color w:val="auto"/>
              </w:rPr>
              <w:t>Assets</w:t>
            </w:r>
          </w:p>
        </w:tc>
        <w:tc>
          <w:tcPr>
            <w:tcW w:w="1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97"/>
              <w:spacing w:after="0"/>
              <w:rPr>
                <w:sz w:val="20"/>
                <w:szCs w:val="20"/>
                <w:color w:val="auto"/>
              </w:rPr>
            </w:pPr>
            <w:r>
              <w:rPr>
                <w:rFonts w:ascii="Arial" w:cs="Arial" w:eastAsia="Arial" w:hAnsi="Arial"/>
                <w:sz w:val="13"/>
                <w:szCs w:val="13"/>
                <w:color w:val="auto"/>
              </w:rPr>
              <w:t>2018</w:t>
            </w:r>
          </w:p>
        </w:tc>
        <w:tc>
          <w:tcPr>
            <w:tcW w:w="14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97"/>
              <w:spacing w:after="0"/>
              <w:rPr>
                <w:sz w:val="20"/>
                <w:szCs w:val="20"/>
                <w:color w:val="auto"/>
              </w:rPr>
            </w:pPr>
            <w:r>
              <w:rPr>
                <w:rFonts w:ascii="Arial" w:cs="Arial" w:eastAsia="Arial" w:hAnsi="Arial"/>
                <w:sz w:val="13"/>
                <w:szCs w:val="13"/>
                <w:color w:val="auto"/>
              </w:rPr>
              <w:t>2017</w:t>
            </w:r>
          </w:p>
        </w:tc>
      </w:tr>
      <w:tr>
        <w:trPr>
          <w:trHeight w:val="223"/>
        </w:trPr>
        <w:tc>
          <w:tcPr>
            <w:tcW w:w="20" w:type="dxa"/>
            <w:vAlign w:val="bottom"/>
          </w:tcPr>
          <w:p>
            <w:pPr>
              <w:spacing w:after="0"/>
              <w:rPr>
                <w:sz w:val="19"/>
                <w:szCs w:val="19"/>
                <w:color w:val="auto"/>
              </w:rPr>
            </w:pPr>
          </w:p>
        </w:tc>
        <w:tc>
          <w:tcPr>
            <w:tcW w:w="7120" w:type="dxa"/>
            <w:vAlign w:val="bottom"/>
            <w:shd w:val="clear" w:color="auto" w:fill="CCEEFF"/>
          </w:tcPr>
          <w:p>
            <w:pPr>
              <w:spacing w:after="0"/>
              <w:rPr>
                <w:sz w:val="20"/>
                <w:szCs w:val="20"/>
                <w:color w:val="auto"/>
              </w:rPr>
            </w:pPr>
            <w:r>
              <w:rPr>
                <w:rFonts w:ascii="Arial" w:cs="Arial" w:eastAsia="Arial" w:hAnsi="Arial"/>
                <w:sz w:val="13"/>
                <w:szCs w:val="13"/>
                <w:color w:val="auto"/>
              </w:rPr>
              <w:t>Property, plant and equipment, at cost</w:t>
            </w:r>
          </w:p>
        </w:tc>
        <w:tc>
          <w:tcPr>
            <w:tcW w:w="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7,447,240</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7,003,993</w:t>
            </w:r>
          </w:p>
        </w:tc>
      </w:tr>
      <w:tr>
        <w:trPr>
          <w:trHeight w:val="243"/>
        </w:trPr>
        <w:tc>
          <w:tcPr>
            <w:tcW w:w="7140" w:type="dxa"/>
            <w:vAlign w:val="bottom"/>
            <w:gridSpan w:val="2"/>
          </w:tcPr>
          <w:p>
            <w:pPr>
              <w:spacing w:after="0"/>
              <w:rPr>
                <w:sz w:val="20"/>
                <w:szCs w:val="20"/>
                <w:color w:val="auto"/>
              </w:rPr>
            </w:pPr>
            <w:r>
              <w:rPr>
                <w:rFonts w:ascii="Arial" w:cs="Arial" w:eastAsia="Arial" w:hAnsi="Arial"/>
                <w:sz w:val="13"/>
                <w:szCs w:val="13"/>
                <w:color w:val="auto"/>
              </w:rPr>
              <w:t>Less: accumulated depreciation</w:t>
            </w:r>
          </w:p>
        </w:tc>
        <w:tc>
          <w:tcPr>
            <w:tcW w:w="1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1,706,439</w:t>
            </w: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1,604,133</w:t>
            </w:r>
          </w:p>
        </w:tc>
      </w:tr>
      <w:tr>
        <w:trPr>
          <w:trHeight w:val="237"/>
        </w:trPr>
        <w:tc>
          <w:tcPr>
            <w:tcW w:w="20" w:type="dxa"/>
            <w:vAlign w:val="bottom"/>
          </w:tcPr>
          <w:p>
            <w:pPr>
              <w:spacing w:after="0"/>
              <w:rPr>
                <w:sz w:val="20"/>
                <w:szCs w:val="20"/>
                <w:color w:val="auto"/>
              </w:rPr>
            </w:pPr>
          </w:p>
        </w:tc>
        <w:tc>
          <w:tcPr>
            <w:tcW w:w="71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3"/>
                <w:szCs w:val="13"/>
                <w:color w:val="auto"/>
              </w:rPr>
              <w:t>Net property, plant and equipment</w:t>
            </w:r>
          </w:p>
        </w:tc>
        <w:tc>
          <w:tcPr>
            <w:tcW w:w="180" w:type="dxa"/>
            <w:vAlign w:val="bottom"/>
            <w:tcBorders>
              <w:top w:val="single" w:sz="8" w:color="auto"/>
              <w:bottom w:val="single" w:sz="8" w:color="auto"/>
            </w:tcBorders>
            <w:shd w:val="clear" w:color="auto" w:fill="CCEEFF"/>
          </w:tcPr>
          <w:p>
            <w:pPr>
              <w:spacing w:after="0"/>
              <w:rPr>
                <w:sz w:val="20"/>
                <w:szCs w:val="20"/>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5,740,801</w:t>
            </w:r>
          </w:p>
        </w:tc>
        <w:tc>
          <w:tcPr>
            <w:tcW w:w="140" w:type="dxa"/>
            <w:vAlign w:val="bottom"/>
            <w:tcBorders>
              <w:top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5,399,860</w:t>
            </w:r>
          </w:p>
        </w:tc>
      </w:tr>
      <w:tr>
        <w:trPr>
          <w:trHeight w:val="237"/>
        </w:trPr>
        <w:tc>
          <w:tcPr>
            <w:tcW w:w="20" w:type="dxa"/>
            <w:vAlign w:val="bottom"/>
          </w:tcPr>
          <w:p>
            <w:pPr>
              <w:spacing w:after="0"/>
              <w:rPr>
                <w:sz w:val="20"/>
                <w:szCs w:val="20"/>
                <w:color w:val="auto"/>
              </w:rPr>
            </w:pPr>
          </w:p>
        </w:tc>
        <w:tc>
          <w:tcPr>
            <w:tcW w:w="7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243"/>
        </w:trPr>
        <w:tc>
          <w:tcPr>
            <w:tcW w:w="20" w:type="dxa"/>
            <w:vAlign w:val="bottom"/>
          </w:tcPr>
          <w:p>
            <w:pPr>
              <w:spacing w:after="0"/>
              <w:rPr>
                <w:sz w:val="21"/>
                <w:szCs w:val="21"/>
                <w:color w:val="auto"/>
              </w:rPr>
            </w:pPr>
          </w:p>
        </w:tc>
        <w:tc>
          <w:tcPr>
            <w:tcW w:w="7120" w:type="dxa"/>
            <w:vAlign w:val="bottom"/>
            <w:shd w:val="clear" w:color="auto" w:fill="CCEEFF"/>
          </w:tcPr>
          <w:p>
            <w:pPr>
              <w:spacing w:after="0"/>
              <w:rPr>
                <w:sz w:val="20"/>
                <w:szCs w:val="20"/>
                <w:color w:val="auto"/>
              </w:rPr>
            </w:pPr>
            <w:r>
              <w:rPr>
                <w:rFonts w:ascii="Arial" w:cs="Arial" w:eastAsia="Arial" w:hAnsi="Arial"/>
                <w:sz w:val="13"/>
                <w:szCs w:val="13"/>
                <w:color w:val="auto"/>
              </w:rPr>
              <w:t>Current assets:</w:t>
            </w:r>
          </w:p>
        </w:tc>
        <w:tc>
          <w:tcPr>
            <w:tcW w:w="18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7120" w:type="dxa"/>
            <w:vAlign w:val="bottom"/>
          </w:tcPr>
          <w:p>
            <w:pPr>
              <w:ind w:left="100"/>
              <w:spacing w:after="0"/>
              <w:rPr>
                <w:sz w:val="20"/>
                <w:szCs w:val="20"/>
                <w:color w:val="auto"/>
              </w:rPr>
            </w:pPr>
            <w:r>
              <w:rPr>
                <w:rFonts w:ascii="Arial" w:cs="Arial" w:eastAsia="Arial" w:hAnsi="Arial"/>
                <w:sz w:val="13"/>
                <w:szCs w:val="13"/>
                <w:color w:val="auto"/>
              </w:rPr>
              <w:t>Cash and cash equivalents</w:t>
            </w:r>
          </w:p>
        </w:tc>
        <w:tc>
          <w:tcPr>
            <w:tcW w:w="1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4,264</w:t>
            </w: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4,204</w:t>
            </w:r>
          </w:p>
        </w:tc>
      </w:tr>
      <w:tr>
        <w:trPr>
          <w:trHeight w:val="243"/>
        </w:trPr>
        <w:tc>
          <w:tcPr>
            <w:tcW w:w="20" w:type="dxa"/>
            <w:vAlign w:val="bottom"/>
          </w:tcPr>
          <w:p>
            <w:pPr>
              <w:spacing w:after="0"/>
              <w:rPr>
                <w:sz w:val="21"/>
                <w:szCs w:val="21"/>
                <w:color w:val="auto"/>
              </w:rPr>
            </w:pPr>
          </w:p>
        </w:tc>
        <w:tc>
          <w:tcPr>
            <w:tcW w:w="7120" w:type="dxa"/>
            <w:vAlign w:val="bottom"/>
            <w:shd w:val="clear" w:color="auto" w:fill="CCEEFF"/>
          </w:tcPr>
          <w:p>
            <w:pPr>
              <w:ind w:left="100"/>
              <w:spacing w:after="0"/>
              <w:rPr>
                <w:sz w:val="20"/>
                <w:szCs w:val="20"/>
                <w:color w:val="auto"/>
              </w:rPr>
            </w:pPr>
            <w:r>
              <w:rPr>
                <w:rFonts w:ascii="Arial" w:cs="Arial" w:eastAsia="Arial" w:hAnsi="Arial"/>
                <w:sz w:val="13"/>
                <w:szCs w:val="13"/>
                <w:color w:val="auto"/>
              </w:rPr>
              <w:t>Accounts receivable and unbilled revenues, net</w:t>
            </w:r>
          </w:p>
        </w:tc>
        <w:tc>
          <w:tcPr>
            <w:tcW w:w="18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114,286</w:t>
            </w:r>
          </w:p>
        </w:tc>
        <w:tc>
          <w:tcPr>
            <w:tcW w:w="1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98,596</w:t>
            </w:r>
          </w:p>
        </w:tc>
      </w:tr>
      <w:tr>
        <w:trPr>
          <w:trHeight w:val="243"/>
        </w:trPr>
        <w:tc>
          <w:tcPr>
            <w:tcW w:w="20" w:type="dxa"/>
            <w:vAlign w:val="bottom"/>
          </w:tcPr>
          <w:p>
            <w:pPr>
              <w:spacing w:after="0"/>
              <w:rPr>
                <w:sz w:val="21"/>
                <w:szCs w:val="21"/>
                <w:color w:val="auto"/>
              </w:rPr>
            </w:pPr>
          </w:p>
        </w:tc>
        <w:tc>
          <w:tcPr>
            <w:tcW w:w="7120" w:type="dxa"/>
            <w:vAlign w:val="bottom"/>
          </w:tcPr>
          <w:p>
            <w:pPr>
              <w:ind w:left="100"/>
              <w:spacing w:after="0"/>
              <w:rPr>
                <w:sz w:val="20"/>
                <w:szCs w:val="20"/>
                <w:color w:val="auto"/>
              </w:rPr>
            </w:pPr>
            <w:r>
              <w:rPr>
                <w:rFonts w:ascii="Arial" w:cs="Arial" w:eastAsia="Arial" w:hAnsi="Arial"/>
                <w:sz w:val="13"/>
                <w:szCs w:val="13"/>
                <w:color w:val="auto"/>
              </w:rPr>
              <w:t>Inventory, materials and supplies</w:t>
            </w:r>
          </w:p>
        </w:tc>
        <w:tc>
          <w:tcPr>
            <w:tcW w:w="1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16,142</w:t>
            </w: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14,361</w:t>
            </w:r>
          </w:p>
        </w:tc>
      </w:tr>
      <w:tr>
        <w:trPr>
          <w:trHeight w:val="243"/>
        </w:trPr>
        <w:tc>
          <w:tcPr>
            <w:tcW w:w="20" w:type="dxa"/>
            <w:vAlign w:val="bottom"/>
          </w:tcPr>
          <w:p>
            <w:pPr>
              <w:spacing w:after="0"/>
              <w:rPr>
                <w:sz w:val="21"/>
                <w:szCs w:val="21"/>
                <w:color w:val="auto"/>
              </w:rPr>
            </w:pPr>
          </w:p>
        </w:tc>
        <w:tc>
          <w:tcPr>
            <w:tcW w:w="7120" w:type="dxa"/>
            <w:vAlign w:val="bottom"/>
            <w:shd w:val="clear" w:color="auto" w:fill="CCEEFF"/>
          </w:tcPr>
          <w:p>
            <w:pPr>
              <w:ind w:left="100"/>
              <w:spacing w:after="0"/>
              <w:rPr>
                <w:sz w:val="20"/>
                <w:szCs w:val="20"/>
                <w:color w:val="auto"/>
              </w:rPr>
            </w:pPr>
            <w:r>
              <w:rPr>
                <w:rFonts w:ascii="Arial" w:cs="Arial" w:eastAsia="Arial" w:hAnsi="Arial"/>
                <w:sz w:val="13"/>
                <w:szCs w:val="13"/>
                <w:color w:val="auto"/>
              </w:rPr>
              <w:t>Prepayments and other current assets</w:t>
            </w:r>
          </w:p>
        </w:tc>
        <w:tc>
          <w:tcPr>
            <w:tcW w:w="18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13,027</w:t>
            </w:r>
          </w:p>
        </w:tc>
        <w:tc>
          <w:tcPr>
            <w:tcW w:w="1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12,542</w:t>
            </w:r>
          </w:p>
        </w:tc>
      </w:tr>
      <w:tr>
        <w:trPr>
          <w:trHeight w:val="243"/>
        </w:trPr>
        <w:tc>
          <w:tcPr>
            <w:tcW w:w="20" w:type="dxa"/>
            <w:vAlign w:val="bottom"/>
          </w:tcPr>
          <w:p>
            <w:pPr>
              <w:spacing w:after="0"/>
              <w:rPr>
                <w:sz w:val="21"/>
                <w:szCs w:val="21"/>
                <w:color w:val="auto"/>
              </w:rPr>
            </w:pPr>
          </w:p>
        </w:tc>
        <w:tc>
          <w:tcPr>
            <w:tcW w:w="7120" w:type="dxa"/>
            <w:vAlign w:val="bottom"/>
            <w:tcBorders>
              <w:bottom w:val="single" w:sz="8" w:color="CCEEFF"/>
            </w:tcBorders>
          </w:tcPr>
          <w:p>
            <w:pPr>
              <w:ind w:left="100"/>
              <w:spacing w:after="0"/>
              <w:rPr>
                <w:sz w:val="20"/>
                <w:szCs w:val="20"/>
                <w:color w:val="auto"/>
              </w:rPr>
            </w:pPr>
            <w:r>
              <w:rPr>
                <w:rFonts w:ascii="Arial" w:cs="Arial" w:eastAsia="Arial" w:hAnsi="Arial"/>
                <w:sz w:val="13"/>
                <w:szCs w:val="13"/>
                <w:color w:val="auto"/>
              </w:rPr>
              <w:t>Assets held for sale</w:t>
            </w:r>
          </w:p>
        </w:tc>
        <w:tc>
          <w:tcPr>
            <w:tcW w:w="18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1,558</w:t>
            </w:r>
          </w:p>
        </w:tc>
        <w:tc>
          <w:tcPr>
            <w:tcW w:w="14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1,543</w:t>
            </w:r>
          </w:p>
        </w:tc>
      </w:tr>
      <w:tr>
        <w:trPr>
          <w:trHeight w:val="237"/>
        </w:trPr>
        <w:tc>
          <w:tcPr>
            <w:tcW w:w="20" w:type="dxa"/>
            <w:vAlign w:val="bottom"/>
          </w:tcPr>
          <w:p>
            <w:pPr>
              <w:spacing w:after="0"/>
              <w:rPr>
                <w:sz w:val="20"/>
                <w:szCs w:val="20"/>
                <w:color w:val="auto"/>
              </w:rPr>
            </w:pPr>
          </w:p>
        </w:tc>
        <w:tc>
          <w:tcPr>
            <w:tcW w:w="7120" w:type="dxa"/>
            <w:vAlign w:val="bottom"/>
            <w:shd w:val="clear" w:color="auto" w:fill="CCEEFF"/>
          </w:tcPr>
          <w:p>
            <w:pPr>
              <w:spacing w:after="0"/>
              <w:rPr>
                <w:sz w:val="20"/>
                <w:szCs w:val="20"/>
                <w:color w:val="auto"/>
              </w:rPr>
            </w:pPr>
            <w:r>
              <w:rPr>
                <w:rFonts w:ascii="Arial" w:cs="Arial" w:eastAsia="Arial" w:hAnsi="Arial"/>
                <w:sz w:val="13"/>
                <w:szCs w:val="13"/>
                <w:color w:val="auto"/>
              </w:rPr>
              <w:t>Total current assets</w:t>
            </w:r>
          </w:p>
        </w:tc>
        <w:tc>
          <w:tcPr>
            <w:tcW w:w="180" w:type="dxa"/>
            <w:vAlign w:val="bottom"/>
            <w:tcBorders>
              <w:bottom w:val="single" w:sz="8" w:color="auto"/>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149,277</w:t>
            </w:r>
          </w:p>
        </w:tc>
        <w:tc>
          <w:tcPr>
            <w:tcW w:w="140" w:type="dxa"/>
            <w:vAlign w:val="bottom"/>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131,246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154305</wp:posOffset>
            </wp:positionV>
            <wp:extent cx="6114415" cy="1543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114415" cy="154305"/>
                    </a:xfrm>
                    <a:prstGeom prst="rect">
                      <a:avLst/>
                    </a:prstGeom>
                    <a:noFill/>
                  </pic:spPr>
                </pic:pic>
              </a:graphicData>
            </a:graphic>
          </wp:anchor>
        </w:drawing>
      </w:r>
    </w:p>
    <w:p>
      <w:pPr>
        <w:sectPr>
          <w:pgSz w:w="11900" w:h="16838" w:orient="portrait"/>
          <w:cols w:equalWidth="0" w:num="1">
            <w:col w:w="9640"/>
          </w:cols>
          <w:pgMar w:left="1140" w:top="118" w:right="1119" w:bottom="0" w:gutter="0" w:footer="0" w:header="0"/>
        </w:sectPr>
      </w:pPr>
    </w:p>
    <w:p>
      <w:pPr>
        <w:spacing w:after="0" w:line="337" w:lineRule="exact"/>
        <w:rPr>
          <w:sz w:val="20"/>
          <w:szCs w:val="20"/>
          <w:color w:val="auto"/>
        </w:rPr>
      </w:pPr>
    </w:p>
    <w:p>
      <w:pPr>
        <w:spacing w:after="0"/>
        <w:rPr>
          <w:sz w:val="20"/>
          <w:szCs w:val="20"/>
          <w:color w:val="auto"/>
        </w:rPr>
      </w:pPr>
      <w:r>
        <w:rPr>
          <w:rFonts w:ascii="Arial" w:cs="Arial" w:eastAsia="Arial" w:hAnsi="Arial"/>
          <w:sz w:val="13"/>
          <w:szCs w:val="13"/>
          <w:color w:val="auto"/>
        </w:rPr>
        <w:t>Regulatory assets</w:t>
      </w:r>
    </w:p>
    <w:p>
      <w:pPr>
        <w:spacing w:after="0" w:line="94" w:lineRule="exact"/>
        <w:rPr>
          <w:sz w:val="20"/>
          <w:szCs w:val="20"/>
          <w:color w:val="auto"/>
        </w:rPr>
      </w:pPr>
    </w:p>
    <w:p>
      <w:pPr>
        <w:spacing w:after="0"/>
        <w:rPr>
          <w:sz w:val="20"/>
          <w:szCs w:val="20"/>
          <w:color w:val="auto"/>
        </w:rPr>
      </w:pPr>
      <w:r>
        <w:rPr>
          <w:rFonts w:ascii="Arial" w:cs="Arial" w:eastAsia="Arial" w:hAnsi="Arial"/>
          <w:sz w:val="11"/>
          <w:szCs w:val="11"/>
          <w:color w:val="auto"/>
        </w:rPr>
        <w:t>Deferred charges and other assets, net</w:t>
      </w:r>
    </w:p>
    <w:p>
      <w:pPr>
        <w:spacing w:after="0" w:line="117" w:lineRule="exact"/>
        <w:rPr>
          <w:sz w:val="20"/>
          <w:szCs w:val="20"/>
          <w:color w:val="auto"/>
        </w:rPr>
      </w:pPr>
    </w:p>
    <w:p>
      <w:pPr>
        <w:spacing w:after="0"/>
        <w:rPr>
          <w:sz w:val="20"/>
          <w:szCs w:val="20"/>
          <w:color w:val="auto"/>
        </w:rPr>
      </w:pPr>
      <w:r>
        <w:rPr>
          <w:rFonts w:ascii="Arial" w:cs="Arial" w:eastAsia="Arial" w:hAnsi="Arial"/>
          <w:sz w:val="13"/>
          <w:szCs w:val="13"/>
          <w:color w:val="auto"/>
        </w:rPr>
        <w:t>Investment in joint venture</w:t>
      </w:r>
    </w:p>
    <w:p>
      <w:pPr>
        <w:spacing w:after="0" w:line="94" w:lineRule="exact"/>
        <w:rPr>
          <w:sz w:val="20"/>
          <w:szCs w:val="20"/>
          <w:color w:val="auto"/>
        </w:rPr>
      </w:pPr>
    </w:p>
    <w:p>
      <w:pPr>
        <w:spacing w:after="0"/>
        <w:rPr>
          <w:sz w:val="20"/>
          <w:szCs w:val="20"/>
          <w:color w:val="auto"/>
        </w:rPr>
      </w:pPr>
      <w:r>
        <w:rPr>
          <w:rFonts w:ascii="Arial" w:cs="Arial" w:eastAsia="Arial" w:hAnsi="Arial"/>
          <w:sz w:val="13"/>
          <w:szCs w:val="13"/>
          <w:color w:val="auto"/>
        </w:rPr>
        <w:t>Goodwill</w:t>
      </w:r>
    </w:p>
    <w:p>
      <w:pPr>
        <w:spacing w:after="0" w:line="94" w:lineRule="exact"/>
        <w:rPr>
          <w:sz w:val="20"/>
          <w:szCs w:val="20"/>
          <w:color w:val="auto"/>
        </w:rPr>
      </w:pPr>
    </w:p>
    <w:p>
      <w:pPr>
        <w:spacing w:after="0"/>
        <w:rPr>
          <w:sz w:val="20"/>
          <w:szCs w:val="20"/>
          <w:color w:val="auto"/>
        </w:rPr>
      </w:pPr>
      <w:r>
        <w:rPr>
          <w:rFonts w:ascii="Arial" w:cs="Arial" w:eastAsia="Arial" w:hAnsi="Arial"/>
          <w:sz w:val="13"/>
          <w:szCs w:val="13"/>
          <w:color w:val="auto"/>
        </w:rPr>
        <w:t>Total assets</w:t>
      </w:r>
    </w:p>
    <w:p>
      <w:pPr>
        <w:spacing w:after="0" w:line="20" w:lineRule="exact"/>
        <w:rPr>
          <w:sz w:val="20"/>
          <w:szCs w:val="20"/>
          <w:color w:val="auto"/>
        </w:rPr>
      </w:pPr>
      <w:r>
        <w:rPr>
          <w:sz w:val="20"/>
          <w:szCs w:val="20"/>
          <w:color w:val="auto"/>
        </w:rPr>
        <w:br w:type="column"/>
      </w:r>
    </w:p>
    <w:p>
      <w:pPr>
        <w:spacing w:after="0" w:line="317" w:lineRule="exact"/>
        <w:rPr>
          <w:sz w:val="20"/>
          <w:szCs w:val="20"/>
          <w:color w:val="auto"/>
        </w:rPr>
      </w:pPr>
    </w:p>
    <w:p>
      <w:pPr>
        <w:spacing w:after="0" w:line="1" w:lineRule="exact"/>
        <w:rPr>
          <w:sz w:val="1"/>
          <w:szCs w:val="1"/>
          <w:color w:val="auto"/>
        </w:rPr>
      </w:pPr>
    </w:p>
    <w:tbl>
      <w:tblPr>
        <w:tblLayout w:type="fixed"/>
        <w:tblInd w:w="4240" w:type="dxa"/>
        <w:tblCellMar>
          <w:top w:w="0" w:type="dxa"/>
          <w:left w:w="0" w:type="dxa"/>
          <w:bottom w:w="0" w:type="dxa"/>
          <w:right w:w="0" w:type="dxa"/>
        </w:tblCellMar>
      </w:tblPr>
      <w:tr>
        <w:trPr>
          <w:trHeight w:val="160"/>
        </w:trPr>
        <w:tc>
          <w:tcPr>
            <w:tcW w:w="40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767,902</w:t>
            </w:r>
          </w:p>
        </w:tc>
        <w:tc>
          <w:tcPr>
            <w:tcW w:w="1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713,971</w:t>
            </w:r>
          </w:p>
        </w:tc>
      </w:tr>
      <w:tr>
        <w:trPr>
          <w:trHeight w:val="243"/>
        </w:trPr>
        <w:tc>
          <w:tcPr>
            <w:tcW w:w="40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39,190</w:t>
            </w:r>
          </w:p>
        </w:tc>
        <w:tc>
          <w:tcPr>
            <w:tcW w:w="1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38,485</w:t>
            </w:r>
          </w:p>
        </w:tc>
      </w:tr>
      <w:tr>
        <w:trPr>
          <w:trHeight w:val="243"/>
        </w:trPr>
        <w:tc>
          <w:tcPr>
            <w:tcW w:w="40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6,689</w:t>
            </w:r>
          </w:p>
        </w:tc>
        <w:tc>
          <w:tcPr>
            <w:tcW w:w="1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6,671</w:t>
            </w:r>
          </w:p>
        </w:tc>
      </w:tr>
      <w:tr>
        <w:trPr>
          <w:trHeight w:val="232"/>
        </w:trPr>
        <w:tc>
          <w:tcPr>
            <w:tcW w:w="4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53,242</w:t>
            </w:r>
          </w:p>
        </w:tc>
        <w:tc>
          <w:tcPr>
            <w:tcW w:w="14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42,230</w:t>
            </w:r>
          </w:p>
        </w:tc>
      </w:tr>
      <w:tr>
        <w:trPr>
          <w:trHeight w:val="217"/>
        </w:trPr>
        <w:tc>
          <w:tcPr>
            <w:tcW w:w="400" w:type="dxa"/>
            <w:vAlign w:val="bottom"/>
            <w:tcBorders>
              <w:bottom w:val="single" w:sz="8" w:color="auto"/>
            </w:tcBorders>
          </w:tcPr>
          <w:p>
            <w:pPr>
              <w:jc w:val="right"/>
              <w:ind w:right="197"/>
              <w:spacing w:after="0"/>
              <w:rPr>
                <w:sz w:val="20"/>
                <w:szCs w:val="20"/>
                <w:color w:val="auto"/>
              </w:rPr>
            </w:pPr>
            <w:r>
              <w:rPr>
                <w:rFonts w:ascii="Arial" w:cs="Arial" w:eastAsia="Arial" w:hAnsi="Arial"/>
                <w:sz w:val="13"/>
                <w:szCs w:val="13"/>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6,757,101</w:t>
            </w:r>
          </w:p>
        </w:tc>
        <w:tc>
          <w:tcPr>
            <w:tcW w:w="140" w:type="dxa"/>
            <w:vAlign w:val="bottom"/>
          </w:tcPr>
          <w:p>
            <w:pPr>
              <w:spacing w:after="0"/>
              <w:rPr>
                <w:sz w:val="18"/>
                <w:szCs w:val="18"/>
                <w:color w:val="auto"/>
              </w:rPr>
            </w:pPr>
          </w:p>
        </w:tc>
        <w:tc>
          <w:tcPr>
            <w:tcW w:w="400" w:type="dxa"/>
            <w:vAlign w:val="bottom"/>
            <w:tcBorders>
              <w:bottom w:val="single" w:sz="8" w:color="auto"/>
            </w:tcBorders>
          </w:tcPr>
          <w:p>
            <w:pPr>
              <w:jc w:val="right"/>
              <w:ind w:right="177"/>
              <w:spacing w:after="0"/>
              <w:rPr>
                <w:sz w:val="20"/>
                <w:szCs w:val="20"/>
                <w:color w:val="auto"/>
              </w:rPr>
            </w:pPr>
            <w:r>
              <w:rPr>
                <w:rFonts w:ascii="Arial" w:cs="Arial" w:eastAsia="Arial" w:hAnsi="Arial"/>
                <w:sz w:val="13"/>
                <w:szCs w:val="13"/>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6,332,463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-1832610</wp:posOffset>
            </wp:positionH>
            <wp:positionV relativeFrom="paragraph">
              <wp:posOffset>-471170</wp:posOffset>
            </wp:positionV>
            <wp:extent cx="6114415" cy="1543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114415" cy="154305"/>
                    </a:xfrm>
                    <a:prstGeom prst="rect">
                      <a:avLst/>
                    </a:prstGeom>
                    <a:noFill/>
                  </pic:spPr>
                </pic:pic>
              </a:graphicData>
            </a:graphic>
          </wp:anchor>
        </w:drawing>
        <w:drawing>
          <wp:anchor simplePos="0" relativeHeight="251657728" behindDoc="1" locked="0" layoutInCell="0" allowOverlap="1">
            <wp:simplePos x="0" y="0"/>
            <wp:positionH relativeFrom="column">
              <wp:posOffset>-1832610</wp:posOffset>
            </wp:positionH>
            <wp:positionV relativeFrom="paragraph">
              <wp:posOffset>-162560</wp:posOffset>
            </wp:positionV>
            <wp:extent cx="6114415" cy="1543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114415" cy="154305"/>
                    </a:xfrm>
                    <a:prstGeom prst="rect">
                      <a:avLst/>
                    </a:prstGeom>
                    <a:noFill/>
                  </pic:spPr>
                </pic:pic>
              </a:graphicData>
            </a:graphic>
          </wp:anchor>
        </w:drawing>
      </w:r>
    </w:p>
    <w:p>
      <w:pPr>
        <w:spacing w:after="0" w:line="74" w:lineRule="exact"/>
        <w:rPr>
          <w:sz w:val="20"/>
          <w:szCs w:val="20"/>
          <w:color w:val="auto"/>
        </w:rPr>
      </w:pPr>
    </w:p>
    <w:p>
      <w:pPr>
        <w:spacing w:after="0"/>
        <w:rPr>
          <w:sz w:val="20"/>
          <w:szCs w:val="20"/>
          <w:color w:val="auto"/>
        </w:rPr>
      </w:pPr>
      <w:r>
        <w:rPr>
          <w:rFonts w:ascii="Arial" w:cs="Arial" w:eastAsia="Arial" w:hAnsi="Arial"/>
          <w:sz w:val="13"/>
          <w:szCs w:val="13"/>
          <w:color w:val="auto"/>
        </w:rPr>
        <w:t>Liabilities and Equity</w:t>
      </w:r>
    </w:p>
    <w:p>
      <w:pPr>
        <w:spacing w:after="0" w:line="89" w:lineRule="exact"/>
        <w:rPr>
          <w:sz w:val="20"/>
          <w:szCs w:val="20"/>
          <w:color w:val="auto"/>
        </w:rPr>
      </w:pPr>
    </w:p>
    <w:p>
      <w:pPr>
        <w:sectPr>
          <w:pgSz w:w="11900" w:h="16838" w:orient="portrait"/>
          <w:cols w:equalWidth="0" w:num="2">
            <w:col w:w="2180" w:space="720"/>
            <w:col w:w="6740"/>
          </w:cols>
          <w:pgMar w:left="1140" w:top="118" w:right="1119" w:bottom="0" w:gutter="0" w:footer="0" w:header="0"/>
          <w:type w:val="continuous"/>
        </w:sectPr>
      </w:pPr>
    </w:p>
    <w:p>
      <w:pPr>
        <w:spacing w:after="0"/>
        <w:rPr>
          <w:sz w:val="20"/>
          <w:szCs w:val="20"/>
          <w:color w:val="auto"/>
        </w:rPr>
      </w:pPr>
      <w:r>
        <w:rPr>
          <w:rFonts w:ascii="Arial" w:cs="Arial" w:eastAsia="Arial" w:hAnsi="Arial"/>
          <w:sz w:val="13"/>
          <w:szCs w:val="13"/>
          <w:color w:val="auto"/>
        </w:rPr>
        <w:t>Stockholders' equity:</w:t>
      </w:r>
    </w:p>
    <w:tbl>
      <w:tblPr>
        <w:tblLayout w:type="fixed"/>
        <w:tblInd w:w="0" w:type="dxa"/>
        <w:tblCellMar>
          <w:top w:w="0" w:type="dxa"/>
          <w:left w:w="0" w:type="dxa"/>
          <w:bottom w:w="0" w:type="dxa"/>
          <w:right w:w="0" w:type="dxa"/>
        </w:tblCellMar>
      </w:tblPr>
      <w:tr>
        <w:trPr>
          <w:trHeight w:val="125"/>
        </w:trPr>
        <w:tc>
          <w:tcPr>
            <w:tcW w:w="20" w:type="dxa"/>
            <w:vAlign w:val="bottom"/>
          </w:tcPr>
          <w:p>
            <w:pPr>
              <w:spacing w:after="0"/>
              <w:rPr>
                <w:sz w:val="10"/>
                <w:szCs w:val="10"/>
                <w:color w:val="auto"/>
              </w:rPr>
            </w:pPr>
          </w:p>
        </w:tc>
        <w:tc>
          <w:tcPr>
            <w:tcW w:w="7120" w:type="dxa"/>
            <w:vAlign w:val="bottom"/>
            <w:shd w:val="clear" w:color="auto" w:fill="CCEEFF"/>
          </w:tcPr>
          <w:p>
            <w:pPr>
              <w:ind w:left="100"/>
              <w:spacing w:after="0" w:line="125" w:lineRule="exact"/>
              <w:rPr>
                <w:sz w:val="20"/>
                <w:szCs w:val="20"/>
                <w:color w:val="auto"/>
              </w:rPr>
            </w:pPr>
            <w:r>
              <w:rPr>
                <w:rFonts w:ascii="Arial" w:cs="Arial" w:eastAsia="Arial" w:hAnsi="Arial"/>
                <w:sz w:val="13"/>
                <w:szCs w:val="13"/>
                <w:color w:val="auto"/>
                <w:w w:val="90"/>
              </w:rPr>
              <w:t>Common stock at $.50 par value, authorized 300,000,000 shares, issued 180,998,152 and 180,700,251 as of September 30, 2018 and</w:t>
            </w:r>
          </w:p>
        </w:tc>
        <w:tc>
          <w:tcPr>
            <w:tcW w:w="40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r>
      <w:tr>
        <w:trPr>
          <w:trHeight w:val="149"/>
        </w:trPr>
        <w:tc>
          <w:tcPr>
            <w:tcW w:w="20" w:type="dxa"/>
            <w:vAlign w:val="bottom"/>
          </w:tcPr>
          <w:p>
            <w:pPr>
              <w:spacing w:after="0"/>
              <w:rPr>
                <w:sz w:val="12"/>
                <w:szCs w:val="12"/>
                <w:color w:val="auto"/>
              </w:rPr>
            </w:pPr>
          </w:p>
        </w:tc>
        <w:tc>
          <w:tcPr>
            <w:tcW w:w="7120" w:type="dxa"/>
            <w:vAlign w:val="bottom"/>
            <w:shd w:val="clear" w:color="auto" w:fill="CCEEFF"/>
          </w:tcPr>
          <w:p>
            <w:pPr>
              <w:ind w:left="100"/>
              <w:spacing w:after="0"/>
              <w:rPr>
                <w:sz w:val="20"/>
                <w:szCs w:val="20"/>
                <w:color w:val="auto"/>
              </w:rPr>
            </w:pPr>
            <w:r>
              <w:rPr>
                <w:rFonts w:ascii="Arial" w:cs="Arial" w:eastAsia="Arial" w:hAnsi="Arial"/>
                <w:sz w:val="13"/>
                <w:szCs w:val="13"/>
                <w:color w:val="auto"/>
              </w:rPr>
              <w:t>December 31, 2017</w:t>
            </w:r>
          </w:p>
        </w:tc>
        <w:tc>
          <w:tcPr>
            <w:tcW w:w="400" w:type="dxa"/>
            <w:vAlign w:val="bottom"/>
            <w:shd w:val="clear" w:color="auto" w:fill="CCEEFF"/>
          </w:tcPr>
          <w:p>
            <w:pPr>
              <w:jc w:val="right"/>
              <w:ind w:right="197"/>
              <w:spacing w:after="0"/>
              <w:rPr>
                <w:sz w:val="20"/>
                <w:szCs w:val="20"/>
                <w:color w:val="auto"/>
              </w:rPr>
            </w:pPr>
            <w:r>
              <w:rPr>
                <w:rFonts w:ascii="Arial" w:cs="Arial" w:eastAsia="Arial" w:hAnsi="Arial"/>
                <w:sz w:val="13"/>
                <w:szCs w:val="13"/>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90,499</w:t>
            </w:r>
          </w:p>
        </w:tc>
        <w:tc>
          <w:tcPr>
            <w:tcW w:w="140" w:type="dxa"/>
            <w:vAlign w:val="bottom"/>
            <w:shd w:val="clear" w:color="auto" w:fill="CCEEFF"/>
          </w:tcPr>
          <w:p>
            <w:pPr>
              <w:spacing w:after="0"/>
              <w:rPr>
                <w:sz w:val="12"/>
                <w:szCs w:val="12"/>
                <w:color w:val="auto"/>
              </w:rPr>
            </w:pPr>
          </w:p>
        </w:tc>
        <w:tc>
          <w:tcPr>
            <w:tcW w:w="400" w:type="dxa"/>
            <w:vAlign w:val="bottom"/>
            <w:shd w:val="clear" w:color="auto" w:fill="CCEEFF"/>
          </w:tcPr>
          <w:p>
            <w:pPr>
              <w:jc w:val="right"/>
              <w:ind w:right="177"/>
              <w:spacing w:after="0"/>
              <w:rPr>
                <w:sz w:val="20"/>
                <w:szCs w:val="20"/>
                <w:color w:val="auto"/>
              </w:rPr>
            </w:pPr>
            <w:r>
              <w:rPr>
                <w:rFonts w:ascii="Arial" w:cs="Arial" w:eastAsia="Arial" w:hAnsi="Arial"/>
                <w:sz w:val="13"/>
                <w:szCs w:val="13"/>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90,350</w:t>
            </w:r>
          </w:p>
        </w:tc>
      </w:tr>
      <w:tr>
        <w:trPr>
          <w:trHeight w:val="243"/>
        </w:trPr>
        <w:tc>
          <w:tcPr>
            <w:tcW w:w="20" w:type="dxa"/>
            <w:vAlign w:val="bottom"/>
          </w:tcPr>
          <w:p>
            <w:pPr>
              <w:spacing w:after="0"/>
              <w:rPr>
                <w:sz w:val="21"/>
                <w:szCs w:val="21"/>
                <w:color w:val="auto"/>
              </w:rPr>
            </w:pPr>
          </w:p>
        </w:tc>
        <w:tc>
          <w:tcPr>
            <w:tcW w:w="7120" w:type="dxa"/>
            <w:vAlign w:val="bottom"/>
          </w:tcPr>
          <w:p>
            <w:pPr>
              <w:ind w:left="100"/>
              <w:spacing w:after="0"/>
              <w:rPr>
                <w:sz w:val="20"/>
                <w:szCs w:val="20"/>
                <w:color w:val="auto"/>
              </w:rPr>
            </w:pPr>
            <w:r>
              <w:rPr>
                <w:rFonts w:ascii="Arial" w:cs="Arial" w:eastAsia="Arial" w:hAnsi="Arial"/>
                <w:sz w:val="13"/>
                <w:szCs w:val="13"/>
                <w:color w:val="auto"/>
              </w:rPr>
              <w:t>Capital in excess of par value</w:t>
            </w:r>
          </w:p>
        </w:tc>
        <w:tc>
          <w:tcPr>
            <w:tcW w:w="40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814,004</w:t>
            </w:r>
          </w:p>
        </w:tc>
        <w:tc>
          <w:tcPr>
            <w:tcW w:w="1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807,135</w:t>
            </w:r>
          </w:p>
        </w:tc>
      </w:tr>
      <w:tr>
        <w:trPr>
          <w:trHeight w:val="243"/>
        </w:trPr>
        <w:tc>
          <w:tcPr>
            <w:tcW w:w="20" w:type="dxa"/>
            <w:vAlign w:val="bottom"/>
          </w:tcPr>
          <w:p>
            <w:pPr>
              <w:spacing w:after="0"/>
              <w:rPr>
                <w:sz w:val="21"/>
                <w:szCs w:val="21"/>
                <w:color w:val="auto"/>
              </w:rPr>
            </w:pPr>
          </w:p>
        </w:tc>
        <w:tc>
          <w:tcPr>
            <w:tcW w:w="7120" w:type="dxa"/>
            <w:vAlign w:val="bottom"/>
            <w:shd w:val="clear" w:color="auto" w:fill="CCEEFF"/>
          </w:tcPr>
          <w:p>
            <w:pPr>
              <w:ind w:left="100"/>
              <w:spacing w:after="0"/>
              <w:rPr>
                <w:sz w:val="20"/>
                <w:szCs w:val="20"/>
                <w:color w:val="auto"/>
              </w:rPr>
            </w:pPr>
            <w:r>
              <w:rPr>
                <w:rFonts w:ascii="Arial" w:cs="Arial" w:eastAsia="Arial" w:hAnsi="Arial"/>
                <w:sz w:val="13"/>
                <w:szCs w:val="13"/>
                <w:color w:val="auto"/>
              </w:rPr>
              <w:t>Retained earnings</w:t>
            </w:r>
          </w:p>
        </w:tc>
        <w:tc>
          <w:tcPr>
            <w:tcW w:w="40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1,217,007</w:t>
            </w:r>
          </w:p>
        </w:tc>
        <w:tc>
          <w:tcPr>
            <w:tcW w:w="14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1,132,556</w:t>
            </w:r>
          </w:p>
        </w:tc>
      </w:tr>
      <w:tr>
        <w:trPr>
          <w:trHeight w:val="243"/>
        </w:trPr>
        <w:tc>
          <w:tcPr>
            <w:tcW w:w="20" w:type="dxa"/>
            <w:vAlign w:val="bottom"/>
          </w:tcPr>
          <w:p>
            <w:pPr>
              <w:spacing w:after="0"/>
              <w:rPr>
                <w:sz w:val="21"/>
                <w:szCs w:val="21"/>
                <w:color w:val="auto"/>
              </w:rPr>
            </w:pPr>
          </w:p>
        </w:tc>
        <w:tc>
          <w:tcPr>
            <w:tcW w:w="7120" w:type="dxa"/>
            <w:vAlign w:val="bottom"/>
          </w:tcPr>
          <w:p>
            <w:pPr>
              <w:ind w:left="100"/>
              <w:spacing w:after="0"/>
              <w:rPr>
                <w:sz w:val="20"/>
                <w:szCs w:val="20"/>
                <w:color w:val="auto"/>
              </w:rPr>
            </w:pPr>
            <w:r>
              <w:rPr>
                <w:rFonts w:ascii="Arial" w:cs="Arial" w:eastAsia="Arial" w:hAnsi="Arial"/>
                <w:sz w:val="13"/>
                <w:szCs w:val="13"/>
                <w:color w:val="auto"/>
              </w:rPr>
              <w:t>Treasury stock, at cost, 3,058,273 and 2,986,308 shares as of September 30, 2018 and December 31, 2017</w:t>
            </w:r>
          </w:p>
        </w:tc>
        <w:tc>
          <w:tcPr>
            <w:tcW w:w="40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(75,772)</w:t>
            </w:r>
          </w:p>
        </w:tc>
        <w:tc>
          <w:tcPr>
            <w:tcW w:w="1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(73,280)</w:t>
            </w:r>
          </w:p>
        </w:tc>
      </w:tr>
      <w:tr>
        <w:trPr>
          <w:trHeight w:val="243"/>
        </w:trPr>
        <w:tc>
          <w:tcPr>
            <w:tcW w:w="20" w:type="dxa"/>
            <w:vAlign w:val="bottom"/>
          </w:tcPr>
          <w:p>
            <w:pPr>
              <w:spacing w:after="0"/>
              <w:rPr>
                <w:sz w:val="21"/>
                <w:szCs w:val="21"/>
                <w:color w:val="auto"/>
              </w:rPr>
            </w:pPr>
          </w:p>
        </w:tc>
        <w:tc>
          <w:tcPr>
            <w:tcW w:w="7120" w:type="dxa"/>
            <w:vAlign w:val="bottom"/>
            <w:shd w:val="clear" w:color="auto" w:fill="CCEEFF"/>
          </w:tcPr>
          <w:p>
            <w:pPr>
              <w:ind w:left="100"/>
              <w:spacing w:after="0"/>
              <w:rPr>
                <w:sz w:val="20"/>
                <w:szCs w:val="20"/>
                <w:color w:val="auto"/>
              </w:rPr>
            </w:pPr>
            <w:r>
              <w:rPr>
                <w:rFonts w:ascii="Arial" w:cs="Arial" w:eastAsia="Arial" w:hAnsi="Arial"/>
                <w:sz w:val="13"/>
                <w:szCs w:val="13"/>
                <w:color w:val="auto"/>
              </w:rPr>
              <w:t>Accumulated other comprehensive income</w:t>
            </w:r>
          </w:p>
        </w:tc>
        <w:tc>
          <w:tcPr>
            <w:tcW w:w="400" w:type="dxa"/>
            <w:vAlign w:val="bottom"/>
            <w:tcBorders>
              <w:bottom w:val="single" w:sz="8" w:color="auto"/>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860</w:t>
            </w:r>
          </w:p>
        </w:tc>
      </w:tr>
      <w:tr>
        <w:trPr>
          <w:trHeight w:val="237"/>
        </w:trPr>
        <w:tc>
          <w:tcPr>
            <w:tcW w:w="7140" w:type="dxa"/>
            <w:vAlign w:val="bottom"/>
            <w:gridSpan w:val="2"/>
          </w:tcPr>
          <w:p>
            <w:pPr>
              <w:spacing w:after="0"/>
              <w:rPr>
                <w:sz w:val="20"/>
                <w:szCs w:val="20"/>
                <w:color w:val="auto"/>
              </w:rPr>
            </w:pPr>
            <w:r>
              <w:rPr>
                <w:rFonts w:ascii="Arial" w:cs="Arial" w:eastAsia="Arial" w:hAnsi="Arial"/>
                <w:sz w:val="13"/>
                <w:szCs w:val="13"/>
                <w:color w:val="auto"/>
              </w:rPr>
              <w:t>Total stockholders' equity</w:t>
            </w:r>
          </w:p>
        </w:tc>
        <w:tc>
          <w:tcPr>
            <w:tcW w:w="4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2,045,738</w:t>
            </w:r>
          </w:p>
        </w:tc>
        <w:tc>
          <w:tcPr>
            <w:tcW w:w="1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1,957,621</w:t>
            </w:r>
          </w:p>
        </w:tc>
      </w:tr>
      <w:tr>
        <w:trPr>
          <w:trHeight w:val="237"/>
        </w:trPr>
        <w:tc>
          <w:tcPr>
            <w:tcW w:w="20" w:type="dxa"/>
            <w:vAlign w:val="bottom"/>
          </w:tcPr>
          <w:p>
            <w:pPr>
              <w:spacing w:after="0"/>
              <w:rPr>
                <w:sz w:val="20"/>
                <w:szCs w:val="20"/>
                <w:color w:val="auto"/>
              </w:rPr>
            </w:pPr>
          </w:p>
        </w:tc>
        <w:tc>
          <w:tcPr>
            <w:tcW w:w="7120" w:type="dxa"/>
            <w:vAlign w:val="bottom"/>
            <w:tcBorders>
              <w:top w:val="single" w:sz="8" w:color="CCEEFF"/>
            </w:tcBorders>
            <w:shd w:val="clear" w:color="auto" w:fill="CCEEFF"/>
          </w:tcPr>
          <w:p>
            <w:pPr>
              <w:spacing w:after="0"/>
              <w:rPr>
                <w:sz w:val="20"/>
                <w:szCs w:val="20"/>
                <w:color w:val="auto"/>
              </w:rPr>
            </w:pPr>
          </w:p>
        </w:tc>
        <w:tc>
          <w:tcPr>
            <w:tcW w:w="400" w:type="dxa"/>
            <w:vAlign w:val="bottom"/>
            <w:tcBorders>
              <w:top w:val="single" w:sz="8" w:color="auto"/>
            </w:tcBorders>
            <w:shd w:val="clear" w:color="auto" w:fill="CCEEFF"/>
          </w:tcPr>
          <w:p>
            <w:pPr>
              <w:spacing w:after="0"/>
              <w:rPr>
                <w:sz w:val="20"/>
                <w:szCs w:val="20"/>
                <w:color w:val="auto"/>
              </w:rPr>
            </w:pPr>
          </w:p>
        </w:tc>
        <w:tc>
          <w:tcPr>
            <w:tcW w:w="780" w:type="dxa"/>
            <w:vAlign w:val="bottom"/>
            <w:tcBorders>
              <w:top w:val="single" w:sz="8" w:color="auto"/>
            </w:tcBorders>
            <w:shd w:val="clear" w:color="auto" w:fill="CCEEFF"/>
          </w:tcPr>
          <w:p>
            <w:pPr>
              <w:spacing w:after="0"/>
              <w:rPr>
                <w:sz w:val="20"/>
                <w:szCs w:val="20"/>
                <w:color w:val="auto"/>
              </w:rPr>
            </w:pPr>
          </w:p>
        </w:tc>
        <w:tc>
          <w:tcPr>
            <w:tcW w:w="140" w:type="dxa"/>
            <w:vAlign w:val="bottom"/>
            <w:tcBorders>
              <w:top w:val="single" w:sz="8" w:color="CCEEFF"/>
            </w:tcBorders>
            <w:shd w:val="clear" w:color="auto" w:fill="CCEEFF"/>
          </w:tcPr>
          <w:p>
            <w:pPr>
              <w:spacing w:after="0"/>
              <w:rPr>
                <w:sz w:val="20"/>
                <w:szCs w:val="20"/>
                <w:color w:val="auto"/>
              </w:rPr>
            </w:pPr>
          </w:p>
        </w:tc>
        <w:tc>
          <w:tcPr>
            <w:tcW w:w="400" w:type="dxa"/>
            <w:vAlign w:val="bottom"/>
            <w:tcBorders>
              <w:top w:val="single" w:sz="8" w:color="auto"/>
            </w:tcBorders>
            <w:shd w:val="clear" w:color="auto" w:fill="CCEEFF"/>
          </w:tcPr>
          <w:p>
            <w:pPr>
              <w:spacing w:after="0"/>
              <w:rPr>
                <w:sz w:val="20"/>
                <w:szCs w:val="20"/>
                <w:color w:val="auto"/>
              </w:rPr>
            </w:pPr>
          </w:p>
        </w:tc>
        <w:tc>
          <w:tcPr>
            <w:tcW w:w="780" w:type="dxa"/>
            <w:vAlign w:val="bottom"/>
            <w:tcBorders>
              <w:top w:val="single" w:sz="8" w:color="auto"/>
            </w:tcBorders>
            <w:shd w:val="clear" w:color="auto" w:fill="CCEEFF"/>
          </w:tcPr>
          <w:p>
            <w:pPr>
              <w:spacing w:after="0"/>
              <w:rPr>
                <w:sz w:val="20"/>
                <w:szCs w:val="20"/>
                <w:color w:val="auto"/>
              </w:rPr>
            </w:pPr>
          </w:p>
        </w:tc>
      </w:tr>
      <w:tr>
        <w:trPr>
          <w:trHeight w:val="243"/>
        </w:trPr>
        <w:tc>
          <w:tcPr>
            <w:tcW w:w="7140" w:type="dxa"/>
            <w:vAlign w:val="bottom"/>
            <w:gridSpan w:val="2"/>
          </w:tcPr>
          <w:p>
            <w:pPr>
              <w:spacing w:after="0"/>
              <w:rPr>
                <w:sz w:val="20"/>
                <w:szCs w:val="20"/>
                <w:color w:val="auto"/>
              </w:rPr>
            </w:pPr>
            <w:r>
              <w:rPr>
                <w:rFonts w:ascii="Arial" w:cs="Arial" w:eastAsia="Arial" w:hAnsi="Arial"/>
                <w:sz w:val="13"/>
                <w:szCs w:val="13"/>
                <w:color w:val="auto"/>
              </w:rPr>
              <w:t>Long-term debt, excluding current portion</w:t>
            </w:r>
          </w:p>
        </w:tc>
        <w:tc>
          <w:tcPr>
            <w:tcW w:w="40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2,287,149</w:t>
            </w:r>
          </w:p>
        </w:tc>
        <w:tc>
          <w:tcPr>
            <w:tcW w:w="1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2,029,358</w:t>
            </w:r>
          </w:p>
        </w:tc>
      </w:tr>
      <w:tr>
        <w:trPr>
          <w:trHeight w:val="243"/>
        </w:trPr>
        <w:tc>
          <w:tcPr>
            <w:tcW w:w="20" w:type="dxa"/>
            <w:vAlign w:val="bottom"/>
          </w:tcPr>
          <w:p>
            <w:pPr>
              <w:spacing w:after="0"/>
              <w:rPr>
                <w:sz w:val="21"/>
                <w:szCs w:val="21"/>
                <w:color w:val="auto"/>
              </w:rPr>
            </w:pPr>
          </w:p>
        </w:tc>
        <w:tc>
          <w:tcPr>
            <w:tcW w:w="7120" w:type="dxa"/>
            <w:vAlign w:val="bottom"/>
            <w:shd w:val="clear" w:color="auto" w:fill="CCEEFF"/>
          </w:tcPr>
          <w:p>
            <w:pPr>
              <w:spacing w:after="0"/>
              <w:rPr>
                <w:sz w:val="20"/>
                <w:szCs w:val="20"/>
                <w:color w:val="auto"/>
              </w:rPr>
            </w:pPr>
            <w:r>
              <w:rPr>
                <w:rFonts w:ascii="Arial" w:cs="Arial" w:eastAsia="Arial" w:hAnsi="Arial"/>
                <w:sz w:val="13"/>
                <w:szCs w:val="13"/>
                <w:color w:val="auto"/>
              </w:rPr>
              <w:t>Less: debt issuance costs</w:t>
            </w:r>
          </w:p>
        </w:tc>
        <w:tc>
          <w:tcPr>
            <w:tcW w:w="400" w:type="dxa"/>
            <w:vAlign w:val="bottom"/>
            <w:tcBorders>
              <w:bottom w:val="single" w:sz="8" w:color="auto"/>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20,689</w:t>
            </w:r>
          </w:p>
        </w:tc>
        <w:tc>
          <w:tcPr>
            <w:tcW w:w="140" w:type="dxa"/>
            <w:vAlign w:val="bottom"/>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21,605</w:t>
            </w:r>
          </w:p>
        </w:tc>
      </w:tr>
      <w:tr>
        <w:trPr>
          <w:trHeight w:val="237"/>
        </w:trPr>
        <w:tc>
          <w:tcPr>
            <w:tcW w:w="7140" w:type="dxa"/>
            <w:vAlign w:val="bottom"/>
            <w:gridSpan w:val="2"/>
          </w:tcPr>
          <w:p>
            <w:pPr>
              <w:spacing w:after="0"/>
              <w:rPr>
                <w:sz w:val="20"/>
                <w:szCs w:val="20"/>
                <w:color w:val="auto"/>
              </w:rPr>
            </w:pPr>
            <w:r>
              <w:rPr>
                <w:rFonts w:ascii="Arial" w:cs="Arial" w:eastAsia="Arial" w:hAnsi="Arial"/>
                <w:sz w:val="13"/>
                <w:szCs w:val="13"/>
                <w:color w:val="auto"/>
              </w:rPr>
              <w:t>Long-term debt, excluding current portion, net of debt issuance costs</w:t>
            </w:r>
          </w:p>
        </w:tc>
        <w:tc>
          <w:tcPr>
            <w:tcW w:w="4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2,266,460</w:t>
            </w:r>
          </w:p>
        </w:tc>
        <w:tc>
          <w:tcPr>
            <w:tcW w:w="1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2,007,753</w:t>
            </w:r>
          </w:p>
        </w:tc>
      </w:tr>
      <w:tr>
        <w:trPr>
          <w:trHeight w:val="237"/>
        </w:trPr>
        <w:tc>
          <w:tcPr>
            <w:tcW w:w="20" w:type="dxa"/>
            <w:vAlign w:val="bottom"/>
          </w:tcPr>
          <w:p>
            <w:pPr>
              <w:spacing w:after="0"/>
              <w:rPr>
                <w:sz w:val="20"/>
                <w:szCs w:val="20"/>
                <w:color w:val="auto"/>
              </w:rPr>
            </w:pPr>
          </w:p>
        </w:tc>
        <w:tc>
          <w:tcPr>
            <w:tcW w:w="71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3"/>
                <w:szCs w:val="13"/>
                <w:color w:val="auto"/>
              </w:rPr>
              <w:t>Commitments and contingencies (See Note 14)</w:t>
            </w:r>
          </w:p>
        </w:tc>
        <w:tc>
          <w:tcPr>
            <w:tcW w:w="400" w:type="dxa"/>
            <w:vAlign w:val="bottom"/>
            <w:tcBorders>
              <w:top w:val="single" w:sz="8" w:color="auto"/>
            </w:tcBorders>
            <w:shd w:val="clear" w:color="auto" w:fill="CCEEFF"/>
          </w:tcPr>
          <w:p>
            <w:pPr>
              <w:spacing w:after="0"/>
              <w:rPr>
                <w:sz w:val="20"/>
                <w:szCs w:val="20"/>
                <w:color w:val="auto"/>
              </w:rPr>
            </w:pPr>
          </w:p>
        </w:tc>
        <w:tc>
          <w:tcPr>
            <w:tcW w:w="780" w:type="dxa"/>
            <w:vAlign w:val="bottom"/>
            <w:tcBorders>
              <w:top w:val="single" w:sz="8" w:color="auto"/>
            </w:tcBorders>
            <w:shd w:val="clear" w:color="auto" w:fill="CCEEFF"/>
          </w:tcPr>
          <w:p>
            <w:pPr>
              <w:spacing w:after="0"/>
              <w:rPr>
                <w:sz w:val="20"/>
                <w:szCs w:val="20"/>
                <w:color w:val="auto"/>
              </w:rPr>
            </w:pPr>
          </w:p>
        </w:tc>
        <w:tc>
          <w:tcPr>
            <w:tcW w:w="140" w:type="dxa"/>
            <w:vAlign w:val="bottom"/>
            <w:tcBorders>
              <w:top w:val="single" w:sz="8" w:color="CCEEFF"/>
            </w:tcBorders>
            <w:shd w:val="clear" w:color="auto" w:fill="CCEEFF"/>
          </w:tcPr>
          <w:p>
            <w:pPr>
              <w:spacing w:after="0"/>
              <w:rPr>
                <w:sz w:val="20"/>
                <w:szCs w:val="20"/>
                <w:color w:val="auto"/>
              </w:rPr>
            </w:pPr>
          </w:p>
        </w:tc>
        <w:tc>
          <w:tcPr>
            <w:tcW w:w="400" w:type="dxa"/>
            <w:vAlign w:val="bottom"/>
            <w:tcBorders>
              <w:top w:val="single" w:sz="8" w:color="auto"/>
            </w:tcBorders>
            <w:shd w:val="clear" w:color="auto" w:fill="CCEEFF"/>
          </w:tcPr>
          <w:p>
            <w:pPr>
              <w:spacing w:after="0"/>
              <w:rPr>
                <w:sz w:val="20"/>
                <w:szCs w:val="20"/>
                <w:color w:val="auto"/>
              </w:rPr>
            </w:pPr>
          </w:p>
        </w:tc>
        <w:tc>
          <w:tcPr>
            <w:tcW w:w="780" w:type="dxa"/>
            <w:vAlign w:val="bottom"/>
            <w:tcBorders>
              <w:top w:val="single" w:sz="8" w:color="auto"/>
            </w:tcBorders>
            <w:shd w:val="clear" w:color="auto" w:fill="CCEEFF"/>
          </w:tcPr>
          <w:p>
            <w:pPr>
              <w:spacing w:after="0"/>
              <w:rPr>
                <w:sz w:val="20"/>
                <w:szCs w:val="20"/>
                <w:color w:val="auto"/>
              </w:rPr>
            </w:pPr>
          </w:p>
        </w:tc>
      </w:tr>
      <w:tr>
        <w:trPr>
          <w:trHeight w:val="243"/>
        </w:trPr>
        <w:tc>
          <w:tcPr>
            <w:tcW w:w="7140" w:type="dxa"/>
            <w:vAlign w:val="bottom"/>
            <w:gridSpan w:val="2"/>
          </w:tcPr>
          <w:p>
            <w:pPr>
              <w:spacing w:after="0"/>
              <w:rPr>
                <w:sz w:val="21"/>
                <w:szCs w:val="21"/>
                <w:color w:val="auto"/>
              </w:rPr>
            </w:pPr>
          </w:p>
        </w:tc>
        <w:tc>
          <w:tcPr>
            <w:tcW w:w="4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80" w:type="dxa"/>
            <w:vAlign w:val="bottom"/>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7120" w:type="dxa"/>
            <w:vAlign w:val="bottom"/>
            <w:shd w:val="clear" w:color="auto" w:fill="CCEEFF"/>
          </w:tcPr>
          <w:p>
            <w:pPr>
              <w:spacing w:after="0"/>
              <w:rPr>
                <w:sz w:val="20"/>
                <w:szCs w:val="20"/>
                <w:color w:val="auto"/>
              </w:rPr>
            </w:pPr>
            <w:r>
              <w:rPr>
                <w:rFonts w:ascii="Arial" w:cs="Arial" w:eastAsia="Arial" w:hAnsi="Arial"/>
                <w:sz w:val="13"/>
                <w:szCs w:val="13"/>
                <w:color w:val="auto"/>
              </w:rPr>
              <w:t>Current liabilities:</w:t>
            </w:r>
          </w:p>
        </w:tc>
        <w:tc>
          <w:tcPr>
            <w:tcW w:w="40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7120" w:type="dxa"/>
            <w:vAlign w:val="bottom"/>
          </w:tcPr>
          <w:p>
            <w:pPr>
              <w:ind w:left="100"/>
              <w:spacing w:after="0"/>
              <w:rPr>
                <w:sz w:val="20"/>
                <w:szCs w:val="20"/>
                <w:color w:val="auto"/>
              </w:rPr>
            </w:pPr>
            <w:r>
              <w:rPr>
                <w:rFonts w:ascii="Arial" w:cs="Arial" w:eastAsia="Arial" w:hAnsi="Arial"/>
                <w:sz w:val="13"/>
                <w:szCs w:val="13"/>
                <w:color w:val="auto"/>
              </w:rPr>
              <w:t>Current portion of long-term debt</w:t>
            </w:r>
          </w:p>
        </w:tc>
        <w:tc>
          <w:tcPr>
            <w:tcW w:w="40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108,075</w:t>
            </w:r>
          </w:p>
        </w:tc>
        <w:tc>
          <w:tcPr>
            <w:tcW w:w="1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113,769</w:t>
            </w:r>
          </w:p>
        </w:tc>
      </w:tr>
      <w:tr>
        <w:trPr>
          <w:trHeight w:val="243"/>
        </w:trPr>
        <w:tc>
          <w:tcPr>
            <w:tcW w:w="20" w:type="dxa"/>
            <w:vAlign w:val="bottom"/>
          </w:tcPr>
          <w:p>
            <w:pPr>
              <w:spacing w:after="0"/>
              <w:rPr>
                <w:sz w:val="21"/>
                <w:szCs w:val="21"/>
                <w:color w:val="auto"/>
              </w:rPr>
            </w:pPr>
          </w:p>
        </w:tc>
        <w:tc>
          <w:tcPr>
            <w:tcW w:w="7120" w:type="dxa"/>
            <w:vAlign w:val="bottom"/>
            <w:shd w:val="clear" w:color="auto" w:fill="CCEEFF"/>
          </w:tcPr>
          <w:p>
            <w:pPr>
              <w:ind w:left="100"/>
              <w:spacing w:after="0"/>
              <w:rPr>
                <w:sz w:val="20"/>
                <w:szCs w:val="20"/>
                <w:color w:val="auto"/>
              </w:rPr>
            </w:pPr>
            <w:r>
              <w:rPr>
                <w:rFonts w:ascii="Arial" w:cs="Arial" w:eastAsia="Arial" w:hAnsi="Arial"/>
                <w:sz w:val="13"/>
                <w:szCs w:val="13"/>
                <w:color w:val="auto"/>
              </w:rPr>
              <w:t>Loans payable</w:t>
            </w:r>
          </w:p>
        </w:tc>
        <w:tc>
          <w:tcPr>
            <w:tcW w:w="40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21,689</w:t>
            </w:r>
          </w:p>
        </w:tc>
        <w:tc>
          <w:tcPr>
            <w:tcW w:w="14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3,650</w:t>
            </w:r>
          </w:p>
        </w:tc>
      </w:tr>
      <w:tr>
        <w:trPr>
          <w:trHeight w:val="243"/>
        </w:trPr>
        <w:tc>
          <w:tcPr>
            <w:tcW w:w="20" w:type="dxa"/>
            <w:vAlign w:val="bottom"/>
          </w:tcPr>
          <w:p>
            <w:pPr>
              <w:spacing w:after="0"/>
              <w:rPr>
                <w:sz w:val="21"/>
                <w:szCs w:val="21"/>
                <w:color w:val="auto"/>
              </w:rPr>
            </w:pPr>
          </w:p>
        </w:tc>
        <w:tc>
          <w:tcPr>
            <w:tcW w:w="7120" w:type="dxa"/>
            <w:vAlign w:val="bottom"/>
          </w:tcPr>
          <w:p>
            <w:pPr>
              <w:ind w:left="100"/>
              <w:spacing w:after="0"/>
              <w:rPr>
                <w:sz w:val="20"/>
                <w:szCs w:val="20"/>
                <w:color w:val="auto"/>
              </w:rPr>
            </w:pPr>
            <w:r>
              <w:rPr>
                <w:rFonts w:ascii="Arial" w:cs="Arial" w:eastAsia="Arial" w:hAnsi="Arial"/>
                <w:sz w:val="13"/>
                <w:szCs w:val="13"/>
                <w:color w:val="auto"/>
              </w:rPr>
              <w:t>Accounts payable</w:t>
            </w:r>
          </w:p>
        </w:tc>
        <w:tc>
          <w:tcPr>
            <w:tcW w:w="40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56,026</w:t>
            </w:r>
          </w:p>
        </w:tc>
        <w:tc>
          <w:tcPr>
            <w:tcW w:w="1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59,165</w:t>
            </w:r>
          </w:p>
        </w:tc>
      </w:tr>
      <w:tr>
        <w:trPr>
          <w:trHeight w:val="243"/>
        </w:trPr>
        <w:tc>
          <w:tcPr>
            <w:tcW w:w="20" w:type="dxa"/>
            <w:vAlign w:val="bottom"/>
          </w:tcPr>
          <w:p>
            <w:pPr>
              <w:spacing w:after="0"/>
              <w:rPr>
                <w:sz w:val="21"/>
                <w:szCs w:val="21"/>
                <w:color w:val="auto"/>
              </w:rPr>
            </w:pPr>
          </w:p>
        </w:tc>
        <w:tc>
          <w:tcPr>
            <w:tcW w:w="7120" w:type="dxa"/>
            <w:vAlign w:val="bottom"/>
            <w:shd w:val="clear" w:color="auto" w:fill="CCEEFF"/>
          </w:tcPr>
          <w:p>
            <w:pPr>
              <w:ind w:left="100"/>
              <w:spacing w:after="0"/>
              <w:rPr>
                <w:sz w:val="20"/>
                <w:szCs w:val="20"/>
                <w:color w:val="auto"/>
              </w:rPr>
            </w:pPr>
            <w:r>
              <w:rPr>
                <w:rFonts w:ascii="Arial" w:cs="Arial" w:eastAsia="Arial" w:hAnsi="Arial"/>
                <w:sz w:val="13"/>
                <w:szCs w:val="13"/>
                <w:color w:val="auto"/>
              </w:rPr>
              <w:t>Book overdraft</w:t>
            </w:r>
          </w:p>
        </w:tc>
        <w:tc>
          <w:tcPr>
            <w:tcW w:w="40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12,968</w:t>
            </w:r>
          </w:p>
        </w:tc>
        <w:tc>
          <w:tcPr>
            <w:tcW w:w="14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21,629</w:t>
            </w:r>
          </w:p>
        </w:tc>
      </w:tr>
      <w:tr>
        <w:trPr>
          <w:trHeight w:val="243"/>
        </w:trPr>
        <w:tc>
          <w:tcPr>
            <w:tcW w:w="20" w:type="dxa"/>
            <w:vAlign w:val="bottom"/>
          </w:tcPr>
          <w:p>
            <w:pPr>
              <w:spacing w:after="0"/>
              <w:rPr>
                <w:sz w:val="21"/>
                <w:szCs w:val="21"/>
                <w:color w:val="auto"/>
              </w:rPr>
            </w:pPr>
          </w:p>
        </w:tc>
        <w:tc>
          <w:tcPr>
            <w:tcW w:w="7120" w:type="dxa"/>
            <w:vAlign w:val="bottom"/>
          </w:tcPr>
          <w:p>
            <w:pPr>
              <w:ind w:left="100"/>
              <w:spacing w:after="0"/>
              <w:rPr>
                <w:sz w:val="20"/>
                <w:szCs w:val="20"/>
                <w:color w:val="auto"/>
              </w:rPr>
            </w:pPr>
            <w:r>
              <w:rPr>
                <w:rFonts w:ascii="Arial" w:cs="Arial" w:eastAsia="Arial" w:hAnsi="Arial"/>
                <w:sz w:val="13"/>
                <w:szCs w:val="13"/>
                <w:color w:val="auto"/>
              </w:rPr>
              <w:t>Accrued interest</w:t>
            </w:r>
          </w:p>
        </w:tc>
        <w:tc>
          <w:tcPr>
            <w:tcW w:w="40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27,335</w:t>
            </w:r>
          </w:p>
        </w:tc>
        <w:tc>
          <w:tcPr>
            <w:tcW w:w="1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21,359</w:t>
            </w:r>
          </w:p>
        </w:tc>
      </w:tr>
      <w:tr>
        <w:trPr>
          <w:trHeight w:val="243"/>
        </w:trPr>
        <w:tc>
          <w:tcPr>
            <w:tcW w:w="20" w:type="dxa"/>
            <w:vAlign w:val="bottom"/>
          </w:tcPr>
          <w:p>
            <w:pPr>
              <w:spacing w:after="0"/>
              <w:rPr>
                <w:sz w:val="21"/>
                <w:szCs w:val="21"/>
                <w:color w:val="auto"/>
              </w:rPr>
            </w:pPr>
          </w:p>
        </w:tc>
        <w:tc>
          <w:tcPr>
            <w:tcW w:w="7120" w:type="dxa"/>
            <w:vAlign w:val="bottom"/>
            <w:shd w:val="clear" w:color="auto" w:fill="CCEEFF"/>
          </w:tcPr>
          <w:p>
            <w:pPr>
              <w:ind w:left="100"/>
              <w:spacing w:after="0"/>
              <w:rPr>
                <w:sz w:val="20"/>
                <w:szCs w:val="20"/>
                <w:color w:val="auto"/>
              </w:rPr>
            </w:pPr>
            <w:r>
              <w:rPr>
                <w:rFonts w:ascii="Arial" w:cs="Arial" w:eastAsia="Arial" w:hAnsi="Arial"/>
                <w:sz w:val="13"/>
                <w:szCs w:val="13"/>
                <w:color w:val="auto"/>
              </w:rPr>
              <w:t>Accrued taxes</w:t>
            </w:r>
          </w:p>
        </w:tc>
        <w:tc>
          <w:tcPr>
            <w:tcW w:w="40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19,120</w:t>
            </w:r>
          </w:p>
        </w:tc>
        <w:tc>
          <w:tcPr>
            <w:tcW w:w="14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23,764</w:t>
            </w:r>
          </w:p>
        </w:tc>
      </w:tr>
      <w:tr>
        <w:trPr>
          <w:trHeight w:val="243"/>
        </w:trPr>
        <w:tc>
          <w:tcPr>
            <w:tcW w:w="20" w:type="dxa"/>
            <w:vAlign w:val="bottom"/>
          </w:tcPr>
          <w:p>
            <w:pPr>
              <w:spacing w:after="0"/>
              <w:rPr>
                <w:sz w:val="21"/>
                <w:szCs w:val="21"/>
                <w:color w:val="auto"/>
              </w:rPr>
            </w:pPr>
          </w:p>
        </w:tc>
        <w:tc>
          <w:tcPr>
            <w:tcW w:w="7120" w:type="dxa"/>
            <w:vAlign w:val="bottom"/>
            <w:tcBorders>
              <w:bottom w:val="single" w:sz="8" w:color="CCEEFF"/>
            </w:tcBorders>
          </w:tcPr>
          <w:p>
            <w:pPr>
              <w:ind w:left="100"/>
              <w:spacing w:after="0"/>
              <w:rPr>
                <w:sz w:val="20"/>
                <w:szCs w:val="20"/>
                <w:color w:val="auto"/>
              </w:rPr>
            </w:pPr>
            <w:r>
              <w:rPr>
                <w:rFonts w:ascii="Arial" w:cs="Arial" w:eastAsia="Arial" w:hAnsi="Arial"/>
                <w:sz w:val="13"/>
                <w:szCs w:val="13"/>
                <w:color w:val="auto"/>
              </w:rPr>
              <w:t>Other accrued liabilities</w:t>
            </w:r>
          </w:p>
        </w:tc>
        <w:tc>
          <w:tcPr>
            <w:tcW w:w="40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42,962</w:t>
            </w:r>
          </w:p>
        </w:tc>
        <w:tc>
          <w:tcPr>
            <w:tcW w:w="140" w:type="dxa"/>
            <w:vAlign w:val="bottom"/>
            <w:tcBorders>
              <w:bottom w:val="single" w:sz="8" w:color="CCEEFF"/>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41,152</w:t>
            </w:r>
          </w:p>
        </w:tc>
      </w:tr>
      <w:tr>
        <w:trPr>
          <w:trHeight w:val="237"/>
        </w:trPr>
        <w:tc>
          <w:tcPr>
            <w:tcW w:w="20" w:type="dxa"/>
            <w:vAlign w:val="bottom"/>
          </w:tcPr>
          <w:p>
            <w:pPr>
              <w:spacing w:after="0"/>
              <w:rPr>
                <w:sz w:val="20"/>
                <w:szCs w:val="20"/>
                <w:color w:val="auto"/>
              </w:rPr>
            </w:pPr>
          </w:p>
        </w:tc>
        <w:tc>
          <w:tcPr>
            <w:tcW w:w="7120" w:type="dxa"/>
            <w:vAlign w:val="bottom"/>
            <w:shd w:val="clear" w:color="auto" w:fill="CCEEFF"/>
          </w:tcPr>
          <w:p>
            <w:pPr>
              <w:spacing w:after="0"/>
              <w:rPr>
                <w:sz w:val="20"/>
                <w:szCs w:val="20"/>
                <w:color w:val="auto"/>
              </w:rPr>
            </w:pPr>
            <w:r>
              <w:rPr>
                <w:rFonts w:ascii="Arial" w:cs="Arial" w:eastAsia="Arial" w:hAnsi="Arial"/>
                <w:sz w:val="13"/>
                <w:szCs w:val="13"/>
                <w:color w:val="auto"/>
              </w:rPr>
              <w:t>Total current liabilities</w:t>
            </w:r>
          </w:p>
        </w:tc>
        <w:tc>
          <w:tcPr>
            <w:tcW w:w="400" w:type="dxa"/>
            <w:vAlign w:val="bottom"/>
            <w:tcBorders>
              <w:bottom w:val="single" w:sz="8" w:color="auto"/>
            </w:tcBorders>
            <w:shd w:val="clear" w:color="auto" w:fill="CCEEFF"/>
          </w:tcPr>
          <w:p>
            <w:pPr>
              <w:spacing w:after="0"/>
              <w:rPr>
                <w:sz w:val="20"/>
                <w:szCs w:val="20"/>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288,175</w:t>
            </w:r>
          </w:p>
        </w:tc>
        <w:tc>
          <w:tcPr>
            <w:tcW w:w="140" w:type="dxa"/>
            <w:vAlign w:val="bottom"/>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spacing w:after="0"/>
              <w:rPr>
                <w:sz w:val="20"/>
                <w:szCs w:val="20"/>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284,488</w:t>
            </w:r>
          </w:p>
        </w:tc>
      </w:tr>
      <w:tr>
        <w:trPr>
          <w:trHeight w:val="237"/>
        </w:trPr>
        <w:tc>
          <w:tcPr>
            <w:tcW w:w="20" w:type="dxa"/>
            <w:vAlign w:val="bottom"/>
          </w:tcPr>
          <w:p>
            <w:pPr>
              <w:spacing w:after="0"/>
              <w:rPr>
                <w:sz w:val="20"/>
                <w:szCs w:val="20"/>
                <w:color w:val="auto"/>
              </w:rPr>
            </w:pPr>
          </w:p>
        </w:tc>
        <w:tc>
          <w:tcPr>
            <w:tcW w:w="7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80" w:type="dxa"/>
            <w:vAlign w:val="bottom"/>
          </w:tcPr>
          <w:p>
            <w:pPr>
              <w:spacing w:after="0"/>
              <w:rPr>
                <w:sz w:val="20"/>
                <w:szCs w:val="20"/>
                <w:color w:val="auto"/>
              </w:rPr>
            </w:pPr>
          </w:p>
        </w:tc>
      </w:tr>
      <w:tr>
        <w:trPr>
          <w:trHeight w:val="243"/>
        </w:trPr>
        <w:tc>
          <w:tcPr>
            <w:tcW w:w="20" w:type="dxa"/>
            <w:vAlign w:val="bottom"/>
          </w:tcPr>
          <w:p>
            <w:pPr>
              <w:spacing w:after="0"/>
              <w:rPr>
                <w:sz w:val="21"/>
                <w:szCs w:val="21"/>
                <w:color w:val="auto"/>
              </w:rPr>
            </w:pPr>
          </w:p>
        </w:tc>
        <w:tc>
          <w:tcPr>
            <w:tcW w:w="7120" w:type="dxa"/>
            <w:vAlign w:val="bottom"/>
            <w:shd w:val="clear" w:color="auto" w:fill="CCEEFF"/>
          </w:tcPr>
          <w:p>
            <w:pPr>
              <w:spacing w:after="0"/>
              <w:rPr>
                <w:sz w:val="20"/>
                <w:szCs w:val="20"/>
                <w:color w:val="auto"/>
              </w:rPr>
            </w:pPr>
            <w:r>
              <w:rPr>
                <w:rFonts w:ascii="Arial" w:cs="Arial" w:eastAsia="Arial" w:hAnsi="Arial"/>
                <w:sz w:val="13"/>
                <w:szCs w:val="13"/>
                <w:color w:val="auto"/>
              </w:rPr>
              <w:t>Deferred credits and other liabilities:</w:t>
            </w:r>
          </w:p>
        </w:tc>
        <w:tc>
          <w:tcPr>
            <w:tcW w:w="40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7120" w:type="dxa"/>
            <w:vAlign w:val="bottom"/>
          </w:tcPr>
          <w:p>
            <w:pPr>
              <w:ind w:left="100"/>
              <w:spacing w:after="0"/>
              <w:rPr>
                <w:sz w:val="20"/>
                <w:szCs w:val="20"/>
                <w:color w:val="auto"/>
              </w:rPr>
            </w:pPr>
            <w:r>
              <w:rPr>
                <w:rFonts w:ascii="Arial" w:cs="Arial" w:eastAsia="Arial" w:hAnsi="Arial"/>
                <w:sz w:val="13"/>
                <w:szCs w:val="13"/>
                <w:color w:val="auto"/>
              </w:rPr>
              <w:t>Deferred income taxes and investment tax credits</w:t>
            </w:r>
          </w:p>
        </w:tc>
        <w:tc>
          <w:tcPr>
            <w:tcW w:w="40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839,271</w:t>
            </w:r>
          </w:p>
        </w:tc>
        <w:tc>
          <w:tcPr>
            <w:tcW w:w="1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769,073</w:t>
            </w:r>
          </w:p>
        </w:tc>
      </w:tr>
      <w:tr>
        <w:trPr>
          <w:trHeight w:val="243"/>
        </w:trPr>
        <w:tc>
          <w:tcPr>
            <w:tcW w:w="20" w:type="dxa"/>
            <w:vAlign w:val="bottom"/>
          </w:tcPr>
          <w:p>
            <w:pPr>
              <w:spacing w:after="0"/>
              <w:rPr>
                <w:sz w:val="21"/>
                <w:szCs w:val="21"/>
                <w:color w:val="auto"/>
              </w:rPr>
            </w:pPr>
          </w:p>
        </w:tc>
        <w:tc>
          <w:tcPr>
            <w:tcW w:w="7120" w:type="dxa"/>
            <w:vAlign w:val="bottom"/>
            <w:shd w:val="clear" w:color="auto" w:fill="CCEEFF"/>
          </w:tcPr>
          <w:p>
            <w:pPr>
              <w:ind w:left="100"/>
              <w:spacing w:after="0"/>
              <w:rPr>
                <w:sz w:val="20"/>
                <w:szCs w:val="20"/>
                <w:color w:val="auto"/>
              </w:rPr>
            </w:pPr>
            <w:r>
              <w:rPr>
                <w:rFonts w:ascii="Arial" w:cs="Arial" w:eastAsia="Arial" w:hAnsi="Arial"/>
                <w:sz w:val="13"/>
                <w:szCs w:val="13"/>
                <w:color w:val="auto"/>
              </w:rPr>
              <w:t>Customers' advances for construction</w:t>
            </w:r>
          </w:p>
        </w:tc>
        <w:tc>
          <w:tcPr>
            <w:tcW w:w="40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94,112</w:t>
            </w:r>
          </w:p>
        </w:tc>
        <w:tc>
          <w:tcPr>
            <w:tcW w:w="14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93,186</w:t>
            </w:r>
          </w:p>
        </w:tc>
      </w:tr>
      <w:tr>
        <w:trPr>
          <w:trHeight w:val="243"/>
        </w:trPr>
        <w:tc>
          <w:tcPr>
            <w:tcW w:w="20" w:type="dxa"/>
            <w:vAlign w:val="bottom"/>
          </w:tcPr>
          <w:p>
            <w:pPr>
              <w:spacing w:after="0"/>
              <w:rPr>
                <w:sz w:val="21"/>
                <w:szCs w:val="21"/>
                <w:color w:val="auto"/>
              </w:rPr>
            </w:pPr>
          </w:p>
        </w:tc>
        <w:tc>
          <w:tcPr>
            <w:tcW w:w="7120" w:type="dxa"/>
            <w:vAlign w:val="bottom"/>
          </w:tcPr>
          <w:p>
            <w:pPr>
              <w:ind w:left="100"/>
              <w:spacing w:after="0"/>
              <w:rPr>
                <w:sz w:val="20"/>
                <w:szCs w:val="20"/>
                <w:color w:val="auto"/>
              </w:rPr>
            </w:pPr>
            <w:r>
              <w:rPr>
                <w:rFonts w:ascii="Arial" w:cs="Arial" w:eastAsia="Arial" w:hAnsi="Arial"/>
                <w:sz w:val="13"/>
                <w:szCs w:val="13"/>
                <w:color w:val="auto"/>
              </w:rPr>
              <w:t>Regulatory liabilities</w:t>
            </w:r>
          </w:p>
        </w:tc>
        <w:tc>
          <w:tcPr>
            <w:tcW w:w="40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533,340</w:t>
            </w:r>
          </w:p>
        </w:tc>
        <w:tc>
          <w:tcPr>
            <w:tcW w:w="1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541,910</w:t>
            </w:r>
          </w:p>
        </w:tc>
      </w:tr>
      <w:tr>
        <w:trPr>
          <w:trHeight w:val="243"/>
        </w:trPr>
        <w:tc>
          <w:tcPr>
            <w:tcW w:w="20" w:type="dxa"/>
            <w:vAlign w:val="bottom"/>
          </w:tcPr>
          <w:p>
            <w:pPr>
              <w:spacing w:after="0"/>
              <w:rPr>
                <w:sz w:val="21"/>
                <w:szCs w:val="21"/>
                <w:color w:val="auto"/>
              </w:rPr>
            </w:pPr>
          </w:p>
        </w:tc>
        <w:tc>
          <w:tcPr>
            <w:tcW w:w="7120" w:type="dxa"/>
            <w:vAlign w:val="bottom"/>
            <w:shd w:val="clear" w:color="auto" w:fill="CCEEFF"/>
          </w:tcPr>
          <w:p>
            <w:pPr>
              <w:ind w:left="100"/>
              <w:spacing w:after="0"/>
              <w:rPr>
                <w:sz w:val="20"/>
                <w:szCs w:val="20"/>
                <w:color w:val="auto"/>
              </w:rPr>
            </w:pPr>
            <w:r>
              <w:rPr>
                <w:rFonts w:ascii="Arial" w:cs="Arial" w:eastAsia="Arial" w:hAnsi="Arial"/>
                <w:sz w:val="13"/>
                <w:szCs w:val="13"/>
                <w:color w:val="auto"/>
              </w:rPr>
              <w:t>Other</w:t>
            </w:r>
          </w:p>
        </w:tc>
        <w:tc>
          <w:tcPr>
            <w:tcW w:w="400" w:type="dxa"/>
            <w:vAlign w:val="bottom"/>
            <w:tcBorders>
              <w:bottom w:val="single" w:sz="8" w:color="auto"/>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101,761</w:t>
            </w:r>
          </w:p>
        </w:tc>
        <w:tc>
          <w:tcPr>
            <w:tcW w:w="140" w:type="dxa"/>
            <w:vAlign w:val="bottom"/>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107,341</w:t>
            </w:r>
          </w:p>
        </w:tc>
      </w:tr>
      <w:tr>
        <w:trPr>
          <w:trHeight w:val="237"/>
        </w:trPr>
        <w:tc>
          <w:tcPr>
            <w:tcW w:w="7140" w:type="dxa"/>
            <w:vAlign w:val="bottom"/>
            <w:gridSpan w:val="2"/>
          </w:tcPr>
          <w:p>
            <w:pPr>
              <w:spacing w:after="0"/>
              <w:rPr>
                <w:sz w:val="20"/>
                <w:szCs w:val="20"/>
                <w:color w:val="auto"/>
              </w:rPr>
            </w:pPr>
            <w:r>
              <w:rPr>
                <w:rFonts w:ascii="Arial" w:cs="Arial" w:eastAsia="Arial" w:hAnsi="Arial"/>
                <w:sz w:val="13"/>
                <w:szCs w:val="13"/>
                <w:color w:val="auto"/>
              </w:rPr>
              <w:t>Total deferred credits and other liabilities</w:t>
            </w:r>
          </w:p>
        </w:tc>
        <w:tc>
          <w:tcPr>
            <w:tcW w:w="4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1,568,484</w:t>
            </w:r>
          </w:p>
        </w:tc>
        <w:tc>
          <w:tcPr>
            <w:tcW w:w="1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1,511,510</w:t>
            </w:r>
          </w:p>
        </w:tc>
      </w:tr>
      <w:tr>
        <w:trPr>
          <w:trHeight w:val="237"/>
        </w:trPr>
        <w:tc>
          <w:tcPr>
            <w:tcW w:w="20" w:type="dxa"/>
            <w:vAlign w:val="bottom"/>
          </w:tcPr>
          <w:p>
            <w:pPr>
              <w:spacing w:after="0"/>
              <w:rPr>
                <w:sz w:val="20"/>
                <w:szCs w:val="20"/>
                <w:color w:val="auto"/>
              </w:rPr>
            </w:pPr>
          </w:p>
        </w:tc>
        <w:tc>
          <w:tcPr>
            <w:tcW w:w="7120" w:type="dxa"/>
            <w:vAlign w:val="bottom"/>
            <w:tcBorders>
              <w:top w:val="single" w:sz="8" w:color="CCEEFF"/>
            </w:tcBorders>
            <w:shd w:val="clear" w:color="auto" w:fill="CCEEFF"/>
          </w:tcPr>
          <w:p>
            <w:pPr>
              <w:spacing w:after="0"/>
              <w:rPr>
                <w:sz w:val="20"/>
                <w:szCs w:val="20"/>
                <w:color w:val="auto"/>
              </w:rPr>
            </w:pPr>
          </w:p>
        </w:tc>
        <w:tc>
          <w:tcPr>
            <w:tcW w:w="400" w:type="dxa"/>
            <w:vAlign w:val="bottom"/>
            <w:tcBorders>
              <w:top w:val="single" w:sz="8" w:color="auto"/>
            </w:tcBorders>
            <w:shd w:val="clear" w:color="auto" w:fill="CCEEFF"/>
          </w:tcPr>
          <w:p>
            <w:pPr>
              <w:spacing w:after="0"/>
              <w:rPr>
                <w:sz w:val="20"/>
                <w:szCs w:val="20"/>
                <w:color w:val="auto"/>
              </w:rPr>
            </w:pPr>
          </w:p>
        </w:tc>
        <w:tc>
          <w:tcPr>
            <w:tcW w:w="780" w:type="dxa"/>
            <w:vAlign w:val="bottom"/>
            <w:tcBorders>
              <w:top w:val="single" w:sz="8" w:color="auto"/>
            </w:tcBorders>
            <w:shd w:val="clear" w:color="auto" w:fill="CCEEFF"/>
          </w:tcPr>
          <w:p>
            <w:pPr>
              <w:spacing w:after="0"/>
              <w:rPr>
                <w:sz w:val="20"/>
                <w:szCs w:val="20"/>
                <w:color w:val="auto"/>
              </w:rPr>
            </w:pPr>
          </w:p>
        </w:tc>
        <w:tc>
          <w:tcPr>
            <w:tcW w:w="140" w:type="dxa"/>
            <w:vAlign w:val="bottom"/>
            <w:tcBorders>
              <w:top w:val="single" w:sz="8" w:color="CCEEFF"/>
            </w:tcBorders>
            <w:shd w:val="clear" w:color="auto" w:fill="CCEEFF"/>
          </w:tcPr>
          <w:p>
            <w:pPr>
              <w:spacing w:after="0"/>
              <w:rPr>
                <w:sz w:val="20"/>
                <w:szCs w:val="20"/>
                <w:color w:val="auto"/>
              </w:rPr>
            </w:pPr>
          </w:p>
        </w:tc>
        <w:tc>
          <w:tcPr>
            <w:tcW w:w="400" w:type="dxa"/>
            <w:vAlign w:val="bottom"/>
            <w:tcBorders>
              <w:top w:val="single" w:sz="8" w:color="auto"/>
            </w:tcBorders>
            <w:shd w:val="clear" w:color="auto" w:fill="CCEEFF"/>
          </w:tcPr>
          <w:p>
            <w:pPr>
              <w:spacing w:after="0"/>
              <w:rPr>
                <w:sz w:val="20"/>
                <w:szCs w:val="20"/>
                <w:color w:val="auto"/>
              </w:rPr>
            </w:pPr>
          </w:p>
        </w:tc>
        <w:tc>
          <w:tcPr>
            <w:tcW w:w="780" w:type="dxa"/>
            <w:vAlign w:val="bottom"/>
            <w:tcBorders>
              <w:top w:val="single" w:sz="8" w:color="auto"/>
            </w:tcBorders>
            <w:shd w:val="clear" w:color="auto" w:fill="CCEEFF"/>
          </w:tcPr>
          <w:p>
            <w:pPr>
              <w:spacing w:after="0"/>
              <w:rPr>
                <w:sz w:val="20"/>
                <w:szCs w:val="20"/>
                <w:color w:val="auto"/>
              </w:rPr>
            </w:pPr>
          </w:p>
        </w:tc>
      </w:tr>
      <w:tr>
        <w:trPr>
          <w:trHeight w:val="243"/>
        </w:trPr>
        <w:tc>
          <w:tcPr>
            <w:tcW w:w="7140" w:type="dxa"/>
            <w:vAlign w:val="bottom"/>
            <w:gridSpan w:val="2"/>
          </w:tcPr>
          <w:p>
            <w:pPr>
              <w:spacing w:after="0"/>
              <w:rPr>
                <w:sz w:val="20"/>
                <w:szCs w:val="20"/>
                <w:color w:val="auto"/>
              </w:rPr>
            </w:pPr>
            <w:r>
              <w:rPr>
                <w:rFonts w:ascii="Arial" w:cs="Arial" w:eastAsia="Arial" w:hAnsi="Arial"/>
                <w:sz w:val="13"/>
                <w:szCs w:val="13"/>
                <w:color w:val="auto"/>
              </w:rPr>
              <w:t>Contributions in aid of construction</w:t>
            </w:r>
          </w:p>
        </w:tc>
        <w:tc>
          <w:tcPr>
            <w:tcW w:w="40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588,244</w:t>
            </w:r>
          </w:p>
        </w:tc>
        <w:tc>
          <w:tcPr>
            <w:tcW w:w="1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571,091</w:t>
            </w:r>
          </w:p>
        </w:tc>
      </w:tr>
      <w:tr>
        <w:trPr>
          <w:trHeight w:val="217"/>
        </w:trPr>
        <w:tc>
          <w:tcPr>
            <w:tcW w:w="20" w:type="dxa"/>
            <w:vAlign w:val="bottom"/>
          </w:tcPr>
          <w:p>
            <w:pPr>
              <w:spacing w:after="0"/>
              <w:rPr>
                <w:sz w:val="18"/>
                <w:szCs w:val="18"/>
                <w:color w:val="auto"/>
              </w:rPr>
            </w:pPr>
          </w:p>
        </w:tc>
        <w:tc>
          <w:tcPr>
            <w:tcW w:w="71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3"/>
                <w:szCs w:val="13"/>
                <w:color w:val="auto"/>
              </w:rPr>
              <w:t>Total liabilities and equity</w:t>
            </w:r>
          </w:p>
        </w:tc>
        <w:tc>
          <w:tcPr>
            <w:tcW w:w="400" w:type="dxa"/>
            <w:vAlign w:val="bottom"/>
            <w:tcBorders>
              <w:top w:val="single" w:sz="8" w:color="auto"/>
              <w:bottom w:val="single" w:sz="8" w:color="auto"/>
            </w:tcBorders>
            <w:shd w:val="clear" w:color="auto" w:fill="CCEEFF"/>
          </w:tcPr>
          <w:p>
            <w:pPr>
              <w:jc w:val="right"/>
              <w:ind w:right="197"/>
              <w:spacing w:after="0"/>
              <w:rPr>
                <w:sz w:val="20"/>
                <w:szCs w:val="20"/>
                <w:color w:val="auto"/>
              </w:rPr>
            </w:pPr>
            <w:r>
              <w:rPr>
                <w:rFonts w:ascii="Arial" w:cs="Arial" w:eastAsia="Arial" w:hAnsi="Arial"/>
                <w:sz w:val="13"/>
                <w:szCs w:val="13"/>
                <w:color w:val="auto"/>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6,757,101</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400" w:type="dxa"/>
            <w:vAlign w:val="bottom"/>
            <w:tcBorders>
              <w:top w:val="single" w:sz="8" w:color="auto"/>
              <w:bottom w:val="single" w:sz="8" w:color="auto"/>
            </w:tcBorders>
            <w:shd w:val="clear" w:color="auto" w:fill="CCEEFF"/>
          </w:tcPr>
          <w:p>
            <w:pPr>
              <w:jc w:val="right"/>
              <w:ind w:right="177"/>
              <w:spacing w:after="0"/>
              <w:rPr>
                <w:sz w:val="20"/>
                <w:szCs w:val="20"/>
                <w:color w:val="auto"/>
              </w:rPr>
            </w:pPr>
            <w:r>
              <w:rPr>
                <w:rFonts w:ascii="Arial" w:cs="Arial" w:eastAsia="Arial" w:hAnsi="Arial"/>
                <w:sz w:val="13"/>
                <w:szCs w:val="13"/>
                <w:color w:val="auto"/>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6,332,463</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3"/>
          <w:szCs w:val="13"/>
          <w:color w:val="auto"/>
        </w:rPr>
        <w:t>See notes to consolidated financial statements beginning on page 9 of this report.</w:t>
      </w:r>
    </w:p>
    <w:p>
      <w:pPr>
        <w:sectPr>
          <w:pgSz w:w="11900" w:h="16838" w:orient="portrait"/>
          <w:cols w:equalWidth="0" w:num="1">
            <w:col w:w="9640"/>
          </w:cols>
          <w:pgMar w:left="1140" w:top="118" w:right="1119"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70485</wp:posOffset>
            </wp:positionV>
            <wp:extent cx="6156960" cy="514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156960" cy="51435"/>
                    </a:xfrm>
                    <a:prstGeom prst="rect">
                      <a:avLst/>
                    </a:prstGeom>
                    <a:noFill/>
                  </pic:spPr>
                </pic:pic>
              </a:graphicData>
            </a:graphic>
          </wp:anchor>
        </w:drawing>
      </w:r>
    </w:p>
    <w:p>
      <w:pPr>
        <w:sectPr>
          <w:pgSz w:w="11900" w:h="16838" w:orient="portrait"/>
          <w:cols w:equalWidth="0" w:num="1">
            <w:col w:w="9640"/>
          </w:cols>
          <w:pgMar w:left="1140" w:top="118" w:right="1119" w:bottom="0" w:gutter="0" w:footer="0" w:header="0"/>
          <w:type w:val="continuous"/>
        </w:sectPr>
      </w:pPr>
    </w:p>
    <w:bookmarkStart w:id="3" w:name="page4"/>
    <w:bookmarkEnd w:id="3"/>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4" w:name="page5"/>
    <w:bookmarkEnd w:id="4"/>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AQUA AMERICA, INC. AND SUBSIDIARIES</w:t>
      </w:r>
    </w:p>
    <w:p>
      <w:pPr>
        <w:spacing w:after="0" w:line="215" w:lineRule="exact"/>
        <w:rPr>
          <w:sz w:val="20"/>
          <w:szCs w:val="20"/>
          <w:color w:val="auto"/>
        </w:rPr>
      </w:pPr>
    </w:p>
    <w:p>
      <w:pPr>
        <w:ind w:left="2560"/>
        <w:spacing w:after="0"/>
        <w:rPr>
          <w:sz w:val="20"/>
          <w:szCs w:val="20"/>
          <w:color w:val="auto"/>
        </w:rPr>
      </w:pPr>
      <w:r>
        <w:rPr>
          <w:rFonts w:ascii="Arial" w:cs="Arial" w:eastAsia="Arial" w:hAnsi="Arial"/>
          <w:sz w:val="22"/>
          <w:szCs w:val="22"/>
          <w:color w:val="auto"/>
        </w:rPr>
        <w:t>CONSOLIDATED STATEMENTS OF NET INCOME</w:t>
      </w:r>
    </w:p>
    <w:p>
      <w:pPr>
        <w:ind w:left="3180"/>
        <w:spacing w:after="0" w:line="238" w:lineRule="auto"/>
        <w:rPr>
          <w:sz w:val="20"/>
          <w:szCs w:val="20"/>
          <w:color w:val="auto"/>
        </w:rPr>
      </w:pPr>
      <w:r>
        <w:rPr>
          <w:rFonts w:ascii="Arial" w:cs="Arial" w:eastAsia="Arial" w:hAnsi="Arial"/>
          <w:sz w:val="22"/>
          <w:szCs w:val="22"/>
          <w:color w:val="auto"/>
        </w:rPr>
        <w:t>(In thousands, except per share amounts)</w:t>
      </w:r>
    </w:p>
    <w:p>
      <w:pPr>
        <w:ind w:left="4120"/>
        <w:spacing w:after="0"/>
        <w:rPr>
          <w:sz w:val="20"/>
          <w:szCs w:val="20"/>
          <w:color w:val="auto"/>
        </w:rPr>
      </w:pPr>
      <w:r>
        <w:rPr>
          <w:rFonts w:ascii="Arial" w:cs="Arial" w:eastAsia="Arial" w:hAnsi="Arial"/>
          <w:sz w:val="22"/>
          <w:szCs w:val="22"/>
          <w:color w:val="auto"/>
        </w:rPr>
        <w:t>(UNAUDITED)</w:t>
      </w:r>
    </w:p>
    <w:p>
      <w:pPr>
        <w:spacing w:after="0" w:line="200" w:lineRule="exact"/>
        <w:rPr>
          <w:sz w:val="20"/>
          <w:szCs w:val="20"/>
          <w:color w:val="auto"/>
        </w:rPr>
      </w:pP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65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700" w:type="dxa"/>
            <w:vAlign w:val="bottom"/>
            <w:gridSpan w:val="4"/>
          </w:tcPr>
          <w:p>
            <w:pPr>
              <w:jc w:val="right"/>
              <w:ind w:right="512"/>
              <w:spacing w:after="0"/>
              <w:rPr>
                <w:sz w:val="20"/>
                <w:szCs w:val="20"/>
                <w:color w:val="auto"/>
              </w:rPr>
            </w:pPr>
            <w:r>
              <w:rPr>
                <w:rFonts w:ascii="Arial" w:cs="Arial" w:eastAsia="Arial" w:hAnsi="Arial"/>
                <w:sz w:val="22"/>
                <w:szCs w:val="22"/>
                <w:color w:val="auto"/>
              </w:rPr>
              <w:t>Three Months Ended</w:t>
            </w: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6540" w:type="dxa"/>
            <w:vAlign w:val="bottom"/>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1780" w:type="dxa"/>
            <w:vAlign w:val="bottom"/>
            <w:tcBorders>
              <w:bottom w:val="single" w:sz="8" w:color="auto"/>
            </w:tcBorders>
            <w:gridSpan w:val="3"/>
          </w:tcPr>
          <w:p>
            <w:pPr>
              <w:jc w:val="right"/>
              <w:spacing w:after="0"/>
              <w:rPr>
                <w:sz w:val="20"/>
                <w:szCs w:val="20"/>
                <w:color w:val="auto"/>
              </w:rPr>
            </w:pPr>
            <w:r>
              <w:rPr>
                <w:rFonts w:ascii="Arial" w:cs="Arial" w:eastAsia="Arial" w:hAnsi="Arial"/>
                <w:sz w:val="22"/>
                <w:szCs w:val="22"/>
                <w:color w:val="auto"/>
              </w:rPr>
              <w:t>September 30,</w:t>
            </w:r>
          </w:p>
        </w:tc>
        <w:tc>
          <w:tcPr>
            <w:tcW w:w="92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54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432"/>
              <w:spacing w:after="0" w:line="237" w:lineRule="exact"/>
              <w:rPr>
                <w:sz w:val="20"/>
                <w:szCs w:val="20"/>
                <w:color w:val="auto"/>
              </w:rPr>
            </w:pPr>
            <w:r>
              <w:rPr>
                <w:rFonts w:ascii="Arial" w:cs="Arial" w:eastAsia="Arial" w:hAnsi="Arial"/>
                <w:sz w:val="22"/>
                <w:szCs w:val="22"/>
                <w:color w:val="auto"/>
              </w:rPr>
              <w:t>2018</w:t>
            </w:r>
          </w:p>
        </w:tc>
        <w:tc>
          <w:tcPr>
            <w:tcW w:w="200" w:type="dxa"/>
            <w:vAlign w:val="bottom"/>
            <w:tcBorders>
              <w:bottom w:val="single" w:sz="8" w:color="CCEEFF"/>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72"/>
              <w:spacing w:after="0" w:line="237" w:lineRule="exact"/>
              <w:rPr>
                <w:sz w:val="20"/>
                <w:szCs w:val="20"/>
                <w:color w:val="auto"/>
              </w:rPr>
            </w:pPr>
            <w:r>
              <w:rPr>
                <w:rFonts w:ascii="Arial" w:cs="Arial" w:eastAsia="Arial" w:hAnsi="Arial"/>
                <w:sz w:val="22"/>
                <w:szCs w:val="22"/>
                <w:color w:val="auto"/>
                <w:w w:val="85"/>
              </w:rPr>
              <w:t>2017</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540" w:type="dxa"/>
            <w:vAlign w:val="bottom"/>
            <w:shd w:val="clear" w:color="auto" w:fill="CCEEFF"/>
          </w:tcPr>
          <w:p>
            <w:pPr>
              <w:spacing w:after="0" w:line="237" w:lineRule="exact"/>
              <w:rPr>
                <w:sz w:val="20"/>
                <w:szCs w:val="20"/>
                <w:color w:val="auto"/>
              </w:rPr>
            </w:pPr>
            <w:r>
              <w:rPr>
                <w:rFonts w:ascii="Arial" w:cs="Arial" w:eastAsia="Arial" w:hAnsi="Arial"/>
                <w:sz w:val="22"/>
                <w:szCs w:val="22"/>
                <w:color w:val="auto"/>
              </w:rPr>
              <w:t>Operating revenues</w:t>
            </w:r>
          </w:p>
        </w:tc>
        <w:tc>
          <w:tcPr>
            <w:tcW w:w="380" w:type="dxa"/>
            <w:vAlign w:val="bottom"/>
            <w:shd w:val="clear" w:color="auto" w:fill="CCEEFF"/>
          </w:tcPr>
          <w:p>
            <w:pPr>
              <w:jc w:val="right"/>
              <w:ind w:right="52"/>
              <w:spacing w:after="0" w:line="237" w:lineRule="exact"/>
              <w:rPr>
                <w:sz w:val="20"/>
                <w:szCs w:val="20"/>
                <w:color w:val="auto"/>
              </w:rPr>
            </w:pPr>
            <w:r>
              <w:rPr>
                <w:rFonts w:ascii="Arial" w:cs="Arial" w:eastAsia="Arial" w:hAnsi="Arial"/>
                <w:sz w:val="22"/>
                <w:szCs w:val="22"/>
                <w:color w:val="auto"/>
              </w:rPr>
              <w:t>$</w:t>
            </w:r>
          </w:p>
        </w:tc>
        <w:tc>
          <w:tcPr>
            <w:tcW w:w="1120" w:type="dxa"/>
            <w:vAlign w:val="bottom"/>
            <w:shd w:val="clear" w:color="auto" w:fill="CCEEFF"/>
          </w:tcPr>
          <w:p>
            <w:pPr>
              <w:jc w:val="right"/>
              <w:spacing w:after="0" w:line="237" w:lineRule="exact"/>
              <w:rPr>
                <w:sz w:val="20"/>
                <w:szCs w:val="20"/>
                <w:color w:val="auto"/>
              </w:rPr>
            </w:pPr>
            <w:r>
              <w:rPr>
                <w:rFonts w:ascii="Arial" w:cs="Arial" w:eastAsia="Arial" w:hAnsi="Arial"/>
                <w:sz w:val="22"/>
                <w:szCs w:val="22"/>
                <w:color w:val="auto"/>
              </w:rPr>
              <w:t>226,137</w:t>
            </w:r>
          </w:p>
        </w:tc>
        <w:tc>
          <w:tcPr>
            <w:tcW w:w="200" w:type="dxa"/>
            <w:vAlign w:val="bottom"/>
            <w:shd w:val="clear" w:color="auto" w:fill="CCEEFF"/>
          </w:tcPr>
          <w:p>
            <w:pPr>
              <w:spacing w:after="0"/>
              <w:rPr>
                <w:sz w:val="20"/>
                <w:szCs w:val="20"/>
                <w:color w:val="auto"/>
              </w:rPr>
            </w:pPr>
          </w:p>
        </w:tc>
        <w:tc>
          <w:tcPr>
            <w:tcW w:w="460" w:type="dxa"/>
            <w:vAlign w:val="bottom"/>
            <w:shd w:val="clear" w:color="auto" w:fill="CCEEFF"/>
          </w:tcPr>
          <w:p>
            <w:pPr>
              <w:jc w:val="right"/>
              <w:ind w:right="172"/>
              <w:spacing w:after="0" w:line="237" w:lineRule="exact"/>
              <w:rPr>
                <w:sz w:val="20"/>
                <w:szCs w:val="20"/>
                <w:color w:val="auto"/>
              </w:rPr>
            </w:pPr>
            <w:r>
              <w:rPr>
                <w:rFonts w:ascii="Arial" w:cs="Arial" w:eastAsia="Arial" w:hAnsi="Arial"/>
                <w:sz w:val="22"/>
                <w:szCs w:val="22"/>
                <w:color w:val="auto"/>
              </w:rPr>
              <w:t>$</w:t>
            </w:r>
          </w:p>
        </w:tc>
        <w:tc>
          <w:tcPr>
            <w:tcW w:w="920" w:type="dxa"/>
            <w:vAlign w:val="bottom"/>
            <w:shd w:val="clear" w:color="auto" w:fill="CCEEFF"/>
          </w:tcPr>
          <w:p>
            <w:pPr>
              <w:jc w:val="right"/>
              <w:spacing w:after="0" w:line="237" w:lineRule="exact"/>
              <w:rPr>
                <w:sz w:val="20"/>
                <w:szCs w:val="20"/>
                <w:color w:val="auto"/>
              </w:rPr>
            </w:pPr>
            <w:r>
              <w:rPr>
                <w:rFonts w:ascii="Arial" w:cs="Arial" w:eastAsia="Arial" w:hAnsi="Arial"/>
                <w:sz w:val="22"/>
                <w:szCs w:val="22"/>
                <w:color w:val="auto"/>
              </w:rPr>
              <w:t>215,008</w:t>
            </w: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65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6540" w:type="dxa"/>
            <w:vAlign w:val="bottom"/>
            <w:shd w:val="clear" w:color="auto" w:fill="CCEEFF"/>
          </w:tcPr>
          <w:p>
            <w:pPr>
              <w:spacing w:after="0" w:line="243" w:lineRule="exact"/>
              <w:rPr>
                <w:sz w:val="20"/>
                <w:szCs w:val="20"/>
                <w:color w:val="auto"/>
              </w:rPr>
            </w:pPr>
            <w:r>
              <w:rPr>
                <w:rFonts w:ascii="Arial" w:cs="Arial" w:eastAsia="Arial" w:hAnsi="Arial"/>
                <w:sz w:val="22"/>
                <w:szCs w:val="22"/>
                <w:color w:val="auto"/>
              </w:rPr>
              <w:t>Operating expenses:</w:t>
            </w:r>
          </w:p>
        </w:tc>
        <w:tc>
          <w:tcPr>
            <w:tcW w:w="38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540" w:type="dxa"/>
            <w:vAlign w:val="bottom"/>
          </w:tcPr>
          <w:p>
            <w:pPr>
              <w:ind w:left="100"/>
              <w:spacing w:after="0" w:line="243" w:lineRule="exact"/>
              <w:rPr>
                <w:sz w:val="20"/>
                <w:szCs w:val="20"/>
                <w:color w:val="auto"/>
              </w:rPr>
            </w:pPr>
            <w:r>
              <w:rPr>
                <w:rFonts w:ascii="Arial" w:cs="Arial" w:eastAsia="Arial" w:hAnsi="Arial"/>
                <w:sz w:val="22"/>
                <w:szCs w:val="22"/>
                <w:color w:val="auto"/>
              </w:rPr>
              <w:t>Operations and maintenance</w:t>
            </w:r>
          </w:p>
        </w:tc>
        <w:tc>
          <w:tcPr>
            <w:tcW w:w="380" w:type="dxa"/>
            <w:vAlign w:val="bottom"/>
          </w:tcPr>
          <w:p>
            <w:pPr>
              <w:spacing w:after="0"/>
              <w:rPr>
                <w:sz w:val="21"/>
                <w:szCs w:val="21"/>
                <w:color w:val="auto"/>
              </w:rPr>
            </w:pPr>
          </w:p>
        </w:tc>
        <w:tc>
          <w:tcPr>
            <w:tcW w:w="1120" w:type="dxa"/>
            <w:vAlign w:val="bottom"/>
          </w:tcPr>
          <w:p>
            <w:pPr>
              <w:jc w:val="right"/>
              <w:spacing w:after="0" w:line="243" w:lineRule="exact"/>
              <w:rPr>
                <w:sz w:val="20"/>
                <w:szCs w:val="20"/>
                <w:color w:val="auto"/>
              </w:rPr>
            </w:pPr>
            <w:r>
              <w:rPr>
                <w:rFonts w:ascii="Arial" w:cs="Arial" w:eastAsia="Arial" w:hAnsi="Arial"/>
                <w:sz w:val="22"/>
                <w:szCs w:val="22"/>
                <w:color w:val="auto"/>
              </w:rPr>
              <w:t>68,624</w:t>
            </w:r>
          </w:p>
        </w:tc>
        <w:tc>
          <w:tcPr>
            <w:tcW w:w="2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20" w:type="dxa"/>
            <w:vAlign w:val="bottom"/>
          </w:tcPr>
          <w:p>
            <w:pPr>
              <w:jc w:val="right"/>
              <w:spacing w:after="0" w:line="243" w:lineRule="exact"/>
              <w:rPr>
                <w:sz w:val="20"/>
                <w:szCs w:val="20"/>
                <w:color w:val="auto"/>
              </w:rPr>
            </w:pPr>
            <w:r>
              <w:rPr>
                <w:rFonts w:ascii="Arial" w:cs="Arial" w:eastAsia="Arial" w:hAnsi="Arial"/>
                <w:sz w:val="22"/>
                <w:szCs w:val="22"/>
                <w:color w:val="auto"/>
              </w:rPr>
              <w:t>66,744</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540" w:type="dxa"/>
            <w:vAlign w:val="bottom"/>
            <w:shd w:val="clear" w:color="auto" w:fill="CCEEFF"/>
          </w:tcPr>
          <w:p>
            <w:pPr>
              <w:ind w:left="100"/>
              <w:spacing w:after="0" w:line="243" w:lineRule="exact"/>
              <w:rPr>
                <w:sz w:val="20"/>
                <w:szCs w:val="20"/>
                <w:color w:val="auto"/>
              </w:rPr>
            </w:pPr>
            <w:r>
              <w:rPr>
                <w:rFonts w:ascii="Arial" w:cs="Arial" w:eastAsia="Arial" w:hAnsi="Arial"/>
                <w:sz w:val="22"/>
                <w:szCs w:val="22"/>
                <w:color w:val="auto"/>
              </w:rPr>
              <w:t>Depreciation</w:t>
            </w:r>
          </w:p>
        </w:tc>
        <w:tc>
          <w:tcPr>
            <w:tcW w:w="38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line="243" w:lineRule="exact"/>
              <w:rPr>
                <w:sz w:val="20"/>
                <w:szCs w:val="20"/>
                <w:color w:val="auto"/>
              </w:rPr>
            </w:pPr>
            <w:r>
              <w:rPr>
                <w:rFonts w:ascii="Arial" w:cs="Arial" w:eastAsia="Arial" w:hAnsi="Arial"/>
                <w:sz w:val="22"/>
                <w:szCs w:val="22"/>
                <w:color w:val="auto"/>
              </w:rPr>
              <w:t>37,457</w:t>
            </w:r>
          </w:p>
        </w:tc>
        <w:tc>
          <w:tcPr>
            <w:tcW w:w="20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line="243" w:lineRule="exact"/>
              <w:rPr>
                <w:sz w:val="20"/>
                <w:szCs w:val="20"/>
                <w:color w:val="auto"/>
              </w:rPr>
            </w:pPr>
            <w:r>
              <w:rPr>
                <w:rFonts w:ascii="Arial" w:cs="Arial" w:eastAsia="Arial" w:hAnsi="Arial"/>
                <w:sz w:val="22"/>
                <w:szCs w:val="22"/>
                <w:color w:val="auto"/>
              </w:rPr>
              <w:t>34,264</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540" w:type="dxa"/>
            <w:vAlign w:val="bottom"/>
          </w:tcPr>
          <w:p>
            <w:pPr>
              <w:ind w:left="100"/>
              <w:spacing w:after="0" w:line="243" w:lineRule="exact"/>
              <w:rPr>
                <w:sz w:val="20"/>
                <w:szCs w:val="20"/>
                <w:color w:val="auto"/>
              </w:rPr>
            </w:pPr>
            <w:r>
              <w:rPr>
                <w:rFonts w:ascii="Arial" w:cs="Arial" w:eastAsia="Arial" w:hAnsi="Arial"/>
                <w:sz w:val="22"/>
                <w:szCs w:val="22"/>
                <w:color w:val="auto"/>
              </w:rPr>
              <w:t>Amortization</w:t>
            </w:r>
          </w:p>
        </w:tc>
        <w:tc>
          <w:tcPr>
            <w:tcW w:w="380" w:type="dxa"/>
            <w:vAlign w:val="bottom"/>
          </w:tcPr>
          <w:p>
            <w:pPr>
              <w:spacing w:after="0"/>
              <w:rPr>
                <w:sz w:val="21"/>
                <w:szCs w:val="21"/>
                <w:color w:val="auto"/>
              </w:rPr>
            </w:pPr>
          </w:p>
        </w:tc>
        <w:tc>
          <w:tcPr>
            <w:tcW w:w="1120" w:type="dxa"/>
            <w:vAlign w:val="bottom"/>
          </w:tcPr>
          <w:p>
            <w:pPr>
              <w:jc w:val="right"/>
              <w:spacing w:after="0" w:line="243" w:lineRule="exact"/>
              <w:rPr>
                <w:sz w:val="20"/>
                <w:szCs w:val="20"/>
                <w:color w:val="auto"/>
              </w:rPr>
            </w:pPr>
            <w:r>
              <w:rPr>
                <w:rFonts w:ascii="Arial" w:cs="Arial" w:eastAsia="Arial" w:hAnsi="Arial"/>
                <w:sz w:val="22"/>
                <w:szCs w:val="22"/>
                <w:color w:val="auto"/>
              </w:rPr>
              <w:t>199</w:t>
            </w:r>
          </w:p>
        </w:tc>
        <w:tc>
          <w:tcPr>
            <w:tcW w:w="2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20" w:type="dxa"/>
            <w:vAlign w:val="bottom"/>
          </w:tcPr>
          <w:p>
            <w:pPr>
              <w:jc w:val="right"/>
              <w:spacing w:after="0" w:line="243" w:lineRule="exact"/>
              <w:rPr>
                <w:sz w:val="20"/>
                <w:szCs w:val="20"/>
                <w:color w:val="auto"/>
              </w:rPr>
            </w:pPr>
            <w:r>
              <w:rPr>
                <w:rFonts w:ascii="Arial" w:cs="Arial" w:eastAsia="Arial" w:hAnsi="Arial"/>
                <w:sz w:val="22"/>
                <w:szCs w:val="22"/>
                <w:color w:val="auto"/>
              </w:rPr>
              <w:t>42</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540" w:type="dxa"/>
            <w:vAlign w:val="bottom"/>
            <w:shd w:val="clear" w:color="auto" w:fill="CCEEFF"/>
          </w:tcPr>
          <w:p>
            <w:pPr>
              <w:ind w:left="100"/>
              <w:spacing w:after="0" w:line="243" w:lineRule="exact"/>
              <w:rPr>
                <w:sz w:val="20"/>
                <w:szCs w:val="20"/>
                <w:color w:val="auto"/>
              </w:rPr>
            </w:pPr>
            <w:r>
              <w:rPr>
                <w:rFonts w:ascii="Arial" w:cs="Arial" w:eastAsia="Arial" w:hAnsi="Arial"/>
                <w:sz w:val="22"/>
                <w:szCs w:val="22"/>
                <w:color w:val="auto"/>
              </w:rPr>
              <w:t>Taxes other than income taxes</w:t>
            </w:r>
          </w:p>
        </w:tc>
        <w:tc>
          <w:tcPr>
            <w:tcW w:w="38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line="243" w:lineRule="exact"/>
              <w:rPr>
                <w:sz w:val="20"/>
                <w:szCs w:val="20"/>
                <w:color w:val="auto"/>
              </w:rPr>
            </w:pPr>
            <w:r>
              <w:rPr>
                <w:rFonts w:ascii="Arial" w:cs="Arial" w:eastAsia="Arial" w:hAnsi="Arial"/>
                <w:sz w:val="22"/>
                <w:szCs w:val="22"/>
                <w:color w:val="auto"/>
              </w:rPr>
              <w:t>15,564</w:t>
            </w:r>
          </w:p>
        </w:tc>
        <w:tc>
          <w:tcPr>
            <w:tcW w:w="200" w:type="dxa"/>
            <w:vAlign w:val="bottom"/>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spacing w:after="0" w:line="243" w:lineRule="exact"/>
              <w:rPr>
                <w:sz w:val="20"/>
                <w:szCs w:val="20"/>
                <w:color w:val="auto"/>
              </w:rPr>
            </w:pPr>
            <w:r>
              <w:rPr>
                <w:rFonts w:ascii="Arial" w:cs="Arial" w:eastAsia="Arial" w:hAnsi="Arial"/>
                <w:sz w:val="22"/>
                <w:szCs w:val="22"/>
                <w:color w:val="auto"/>
              </w:rPr>
              <w:t>15,234</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540" w:type="dxa"/>
            <w:vAlign w:val="bottom"/>
            <w:tcBorders>
              <w:bottom w:val="single" w:sz="8" w:color="CCEEFF"/>
            </w:tcBorders>
          </w:tcPr>
          <w:p>
            <w:pPr>
              <w:ind w:left="100"/>
              <w:spacing w:after="0" w:line="237" w:lineRule="exact"/>
              <w:rPr>
                <w:sz w:val="20"/>
                <w:szCs w:val="20"/>
                <w:color w:val="auto"/>
              </w:rPr>
            </w:pPr>
            <w:r>
              <w:rPr>
                <w:rFonts w:ascii="Arial" w:cs="Arial" w:eastAsia="Arial" w:hAnsi="Arial"/>
                <w:sz w:val="22"/>
                <w:szCs w:val="22"/>
                <w:color w:val="auto"/>
              </w:rPr>
              <w:t>Total operating expenses</w:t>
            </w:r>
          </w:p>
        </w:tc>
        <w:tc>
          <w:tcPr>
            <w:tcW w:w="3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line="237" w:lineRule="exact"/>
              <w:rPr>
                <w:sz w:val="20"/>
                <w:szCs w:val="20"/>
                <w:color w:val="auto"/>
              </w:rPr>
            </w:pPr>
            <w:r>
              <w:rPr>
                <w:rFonts w:ascii="Arial" w:cs="Arial" w:eastAsia="Arial" w:hAnsi="Arial"/>
                <w:sz w:val="22"/>
                <w:szCs w:val="22"/>
                <w:color w:val="auto"/>
              </w:rPr>
              <w:t>121,844</w:t>
            </w:r>
          </w:p>
        </w:tc>
        <w:tc>
          <w:tcPr>
            <w:tcW w:w="200" w:type="dxa"/>
            <w:vAlign w:val="bottom"/>
            <w:tcBorders>
              <w:bottom w:val="single" w:sz="8" w:color="CCEEFF"/>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line="237" w:lineRule="exact"/>
              <w:rPr>
                <w:sz w:val="20"/>
                <w:szCs w:val="20"/>
                <w:color w:val="auto"/>
              </w:rPr>
            </w:pPr>
            <w:r>
              <w:rPr>
                <w:rFonts w:ascii="Arial" w:cs="Arial" w:eastAsia="Arial" w:hAnsi="Arial"/>
                <w:sz w:val="22"/>
                <w:szCs w:val="22"/>
                <w:color w:val="auto"/>
              </w:rPr>
              <w:t>116,284</w:t>
            </w:r>
          </w:p>
        </w:tc>
        <w:tc>
          <w:tcPr>
            <w:tcW w:w="0" w:type="dxa"/>
            <w:vAlign w:val="bottom"/>
          </w:tcPr>
          <w:p>
            <w:pPr>
              <w:spacing w:after="0"/>
              <w:rPr>
                <w:sz w:val="1"/>
                <w:szCs w:val="1"/>
                <w:color w:val="auto"/>
              </w:rPr>
            </w:pPr>
          </w:p>
        </w:tc>
      </w:tr>
      <w:tr>
        <w:trPr>
          <w:trHeight w:val="237"/>
        </w:trPr>
        <w:tc>
          <w:tcPr>
            <w:tcW w:w="20" w:type="dxa"/>
            <w:vAlign w:val="bottom"/>
            <w:vMerge w:val="restart"/>
          </w:tcPr>
          <w:p>
            <w:pPr>
              <w:spacing w:after="0"/>
              <w:rPr>
                <w:sz w:val="20"/>
                <w:szCs w:val="20"/>
                <w:color w:val="auto"/>
              </w:rPr>
            </w:pPr>
          </w:p>
        </w:tc>
        <w:tc>
          <w:tcPr>
            <w:tcW w:w="654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6540" w:type="dxa"/>
            <w:vAlign w:val="bottom"/>
          </w:tcPr>
          <w:p>
            <w:pPr>
              <w:spacing w:after="0" w:line="243" w:lineRule="exact"/>
              <w:rPr>
                <w:sz w:val="20"/>
                <w:szCs w:val="20"/>
                <w:color w:val="auto"/>
              </w:rPr>
            </w:pPr>
            <w:r>
              <w:rPr>
                <w:rFonts w:ascii="Arial" w:cs="Arial" w:eastAsia="Arial" w:hAnsi="Arial"/>
                <w:sz w:val="22"/>
                <w:szCs w:val="22"/>
                <w:color w:val="auto"/>
              </w:rPr>
              <w:t>Operating income</w:t>
            </w:r>
          </w:p>
        </w:tc>
        <w:tc>
          <w:tcPr>
            <w:tcW w:w="380" w:type="dxa"/>
            <w:vAlign w:val="bottom"/>
          </w:tcPr>
          <w:p>
            <w:pPr>
              <w:spacing w:after="0"/>
              <w:rPr>
                <w:sz w:val="21"/>
                <w:szCs w:val="21"/>
                <w:color w:val="auto"/>
              </w:rPr>
            </w:pPr>
          </w:p>
        </w:tc>
        <w:tc>
          <w:tcPr>
            <w:tcW w:w="1120" w:type="dxa"/>
            <w:vAlign w:val="bottom"/>
          </w:tcPr>
          <w:p>
            <w:pPr>
              <w:jc w:val="right"/>
              <w:spacing w:after="0" w:line="243" w:lineRule="exact"/>
              <w:rPr>
                <w:sz w:val="20"/>
                <w:szCs w:val="20"/>
                <w:color w:val="auto"/>
              </w:rPr>
            </w:pPr>
            <w:r>
              <w:rPr>
                <w:rFonts w:ascii="Arial" w:cs="Arial" w:eastAsia="Arial" w:hAnsi="Arial"/>
                <w:sz w:val="22"/>
                <w:szCs w:val="22"/>
                <w:color w:val="auto"/>
              </w:rPr>
              <w:t>104,293</w:t>
            </w:r>
          </w:p>
        </w:tc>
        <w:tc>
          <w:tcPr>
            <w:tcW w:w="2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20" w:type="dxa"/>
            <w:vAlign w:val="bottom"/>
          </w:tcPr>
          <w:p>
            <w:pPr>
              <w:jc w:val="right"/>
              <w:spacing w:after="0" w:line="243" w:lineRule="exact"/>
              <w:rPr>
                <w:sz w:val="20"/>
                <w:szCs w:val="20"/>
                <w:color w:val="auto"/>
              </w:rPr>
            </w:pPr>
            <w:r>
              <w:rPr>
                <w:rFonts w:ascii="Arial" w:cs="Arial" w:eastAsia="Arial" w:hAnsi="Arial"/>
                <w:sz w:val="22"/>
                <w:szCs w:val="22"/>
                <w:color w:val="auto"/>
              </w:rPr>
              <w:t>98,724</w:t>
            </w: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654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6540" w:type="dxa"/>
            <w:vAlign w:val="bottom"/>
          </w:tcPr>
          <w:p>
            <w:pPr>
              <w:spacing w:after="0" w:line="243" w:lineRule="exact"/>
              <w:rPr>
                <w:sz w:val="20"/>
                <w:szCs w:val="20"/>
                <w:color w:val="auto"/>
              </w:rPr>
            </w:pPr>
            <w:r>
              <w:rPr>
                <w:rFonts w:ascii="Arial" w:cs="Arial" w:eastAsia="Arial" w:hAnsi="Arial"/>
                <w:sz w:val="22"/>
                <w:szCs w:val="22"/>
                <w:color w:val="auto"/>
              </w:rPr>
              <w:t>Other expense (income):</w:t>
            </w:r>
          </w:p>
        </w:tc>
        <w:tc>
          <w:tcPr>
            <w:tcW w:w="3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540" w:type="dxa"/>
            <w:vAlign w:val="bottom"/>
            <w:shd w:val="clear" w:color="auto" w:fill="CCEEFF"/>
          </w:tcPr>
          <w:p>
            <w:pPr>
              <w:ind w:left="100"/>
              <w:spacing w:after="0" w:line="243" w:lineRule="exact"/>
              <w:rPr>
                <w:sz w:val="20"/>
                <w:szCs w:val="20"/>
                <w:color w:val="auto"/>
              </w:rPr>
            </w:pPr>
            <w:r>
              <w:rPr>
                <w:rFonts w:ascii="Arial" w:cs="Arial" w:eastAsia="Arial" w:hAnsi="Arial"/>
                <w:sz w:val="22"/>
                <w:szCs w:val="22"/>
                <w:color w:val="auto"/>
              </w:rPr>
              <w:t>Interest expense, net</w:t>
            </w:r>
          </w:p>
        </w:tc>
        <w:tc>
          <w:tcPr>
            <w:tcW w:w="38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line="243" w:lineRule="exact"/>
              <w:rPr>
                <w:sz w:val="20"/>
                <w:szCs w:val="20"/>
                <w:color w:val="auto"/>
              </w:rPr>
            </w:pPr>
            <w:r>
              <w:rPr>
                <w:rFonts w:ascii="Arial" w:cs="Arial" w:eastAsia="Arial" w:hAnsi="Arial"/>
                <w:sz w:val="22"/>
                <w:szCs w:val="22"/>
                <w:color w:val="auto"/>
              </w:rPr>
              <w:t>25,359</w:t>
            </w:r>
          </w:p>
        </w:tc>
        <w:tc>
          <w:tcPr>
            <w:tcW w:w="20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line="243" w:lineRule="exact"/>
              <w:rPr>
                <w:sz w:val="20"/>
                <w:szCs w:val="20"/>
                <w:color w:val="auto"/>
              </w:rPr>
            </w:pPr>
            <w:r>
              <w:rPr>
                <w:rFonts w:ascii="Arial" w:cs="Arial" w:eastAsia="Arial" w:hAnsi="Arial"/>
                <w:sz w:val="22"/>
                <w:szCs w:val="22"/>
                <w:color w:val="auto"/>
              </w:rPr>
              <w:t>22,411</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540" w:type="dxa"/>
            <w:vAlign w:val="bottom"/>
          </w:tcPr>
          <w:p>
            <w:pPr>
              <w:ind w:left="100"/>
              <w:spacing w:after="0" w:line="243" w:lineRule="exact"/>
              <w:rPr>
                <w:sz w:val="20"/>
                <w:szCs w:val="20"/>
                <w:color w:val="auto"/>
              </w:rPr>
            </w:pPr>
            <w:r>
              <w:rPr>
                <w:rFonts w:ascii="Arial" w:cs="Arial" w:eastAsia="Arial" w:hAnsi="Arial"/>
                <w:sz w:val="22"/>
                <w:szCs w:val="22"/>
                <w:color w:val="auto"/>
              </w:rPr>
              <w:t>Allowance for funds used during construction</w:t>
            </w:r>
          </w:p>
        </w:tc>
        <w:tc>
          <w:tcPr>
            <w:tcW w:w="380" w:type="dxa"/>
            <w:vAlign w:val="bottom"/>
          </w:tcPr>
          <w:p>
            <w:pPr>
              <w:spacing w:after="0"/>
              <w:rPr>
                <w:sz w:val="21"/>
                <w:szCs w:val="21"/>
                <w:color w:val="auto"/>
              </w:rPr>
            </w:pPr>
          </w:p>
        </w:tc>
        <w:tc>
          <w:tcPr>
            <w:tcW w:w="1120" w:type="dxa"/>
            <w:vAlign w:val="bottom"/>
          </w:tcPr>
          <w:p>
            <w:pPr>
              <w:jc w:val="right"/>
              <w:spacing w:after="0" w:line="243" w:lineRule="exact"/>
              <w:rPr>
                <w:sz w:val="20"/>
                <w:szCs w:val="20"/>
                <w:color w:val="auto"/>
              </w:rPr>
            </w:pPr>
            <w:r>
              <w:rPr>
                <w:rFonts w:ascii="Arial" w:cs="Arial" w:eastAsia="Arial" w:hAnsi="Arial"/>
                <w:sz w:val="22"/>
                <w:szCs w:val="22"/>
                <w:color w:val="auto"/>
              </w:rPr>
              <w:t>(3,066)</w:t>
            </w:r>
          </w:p>
        </w:tc>
        <w:tc>
          <w:tcPr>
            <w:tcW w:w="2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20" w:type="dxa"/>
            <w:vAlign w:val="bottom"/>
          </w:tcPr>
          <w:p>
            <w:pPr>
              <w:jc w:val="right"/>
              <w:spacing w:after="0" w:line="243" w:lineRule="exact"/>
              <w:rPr>
                <w:sz w:val="20"/>
                <w:szCs w:val="20"/>
                <w:color w:val="auto"/>
              </w:rPr>
            </w:pPr>
            <w:r>
              <w:rPr>
                <w:rFonts w:ascii="Arial" w:cs="Arial" w:eastAsia="Arial" w:hAnsi="Arial"/>
                <w:sz w:val="22"/>
                <w:szCs w:val="22"/>
                <w:color w:val="auto"/>
              </w:rPr>
              <w:t>(3,914)</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540" w:type="dxa"/>
            <w:vAlign w:val="bottom"/>
            <w:shd w:val="clear" w:color="auto" w:fill="CCEEFF"/>
          </w:tcPr>
          <w:p>
            <w:pPr>
              <w:ind w:left="100"/>
              <w:spacing w:after="0" w:line="243" w:lineRule="exact"/>
              <w:rPr>
                <w:sz w:val="20"/>
                <w:szCs w:val="20"/>
                <w:color w:val="auto"/>
              </w:rPr>
            </w:pPr>
            <w:r>
              <w:rPr>
                <w:rFonts w:ascii="Arial" w:cs="Arial" w:eastAsia="Arial" w:hAnsi="Arial"/>
                <w:sz w:val="22"/>
                <w:szCs w:val="22"/>
                <w:color w:val="auto"/>
              </w:rPr>
              <w:t>Gain on sale of other assets</w:t>
            </w:r>
          </w:p>
        </w:tc>
        <w:tc>
          <w:tcPr>
            <w:tcW w:w="38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line="243" w:lineRule="exact"/>
              <w:rPr>
                <w:sz w:val="20"/>
                <w:szCs w:val="20"/>
                <w:color w:val="auto"/>
              </w:rPr>
            </w:pPr>
            <w:r>
              <w:rPr>
                <w:rFonts w:ascii="Arial" w:cs="Arial" w:eastAsia="Arial" w:hAnsi="Arial"/>
                <w:sz w:val="22"/>
                <w:szCs w:val="22"/>
                <w:color w:val="auto"/>
              </w:rPr>
              <w:t>(261)</w:t>
            </w:r>
          </w:p>
        </w:tc>
        <w:tc>
          <w:tcPr>
            <w:tcW w:w="20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line="243" w:lineRule="exact"/>
              <w:rPr>
                <w:sz w:val="20"/>
                <w:szCs w:val="20"/>
                <w:color w:val="auto"/>
              </w:rPr>
            </w:pPr>
            <w:r>
              <w:rPr>
                <w:rFonts w:ascii="Arial" w:cs="Arial" w:eastAsia="Arial" w:hAnsi="Arial"/>
                <w:sz w:val="22"/>
                <w:szCs w:val="22"/>
                <w:color w:val="auto"/>
              </w:rPr>
              <w:t>(43)</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540" w:type="dxa"/>
            <w:vAlign w:val="bottom"/>
          </w:tcPr>
          <w:p>
            <w:pPr>
              <w:ind w:left="100"/>
              <w:spacing w:after="0" w:line="243" w:lineRule="exact"/>
              <w:rPr>
                <w:sz w:val="20"/>
                <w:szCs w:val="20"/>
                <w:color w:val="auto"/>
              </w:rPr>
            </w:pPr>
            <w:r>
              <w:rPr>
                <w:rFonts w:ascii="Arial" w:cs="Arial" w:eastAsia="Arial" w:hAnsi="Arial"/>
                <w:sz w:val="22"/>
                <w:szCs w:val="22"/>
                <w:color w:val="auto"/>
              </w:rPr>
              <w:t>Equity earnings in joint venture</w:t>
            </w:r>
          </w:p>
        </w:tc>
        <w:tc>
          <w:tcPr>
            <w:tcW w:w="380" w:type="dxa"/>
            <w:vAlign w:val="bottom"/>
          </w:tcPr>
          <w:p>
            <w:pPr>
              <w:spacing w:after="0"/>
              <w:rPr>
                <w:sz w:val="21"/>
                <w:szCs w:val="21"/>
                <w:color w:val="auto"/>
              </w:rPr>
            </w:pPr>
          </w:p>
        </w:tc>
        <w:tc>
          <w:tcPr>
            <w:tcW w:w="1120" w:type="dxa"/>
            <w:vAlign w:val="bottom"/>
          </w:tcPr>
          <w:p>
            <w:pPr>
              <w:jc w:val="right"/>
              <w:spacing w:after="0" w:line="243" w:lineRule="exact"/>
              <w:rPr>
                <w:sz w:val="20"/>
                <w:szCs w:val="20"/>
                <w:color w:val="auto"/>
              </w:rPr>
            </w:pPr>
            <w:r>
              <w:rPr>
                <w:rFonts w:ascii="Arial" w:cs="Arial" w:eastAsia="Arial" w:hAnsi="Arial"/>
                <w:sz w:val="22"/>
                <w:szCs w:val="22"/>
                <w:color w:val="auto"/>
              </w:rPr>
              <w:t>(215)</w:t>
            </w:r>
          </w:p>
        </w:tc>
        <w:tc>
          <w:tcPr>
            <w:tcW w:w="2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20" w:type="dxa"/>
            <w:vAlign w:val="bottom"/>
          </w:tcPr>
          <w:p>
            <w:pPr>
              <w:jc w:val="right"/>
              <w:spacing w:after="0" w:line="243" w:lineRule="exact"/>
              <w:rPr>
                <w:sz w:val="20"/>
                <w:szCs w:val="20"/>
                <w:color w:val="auto"/>
              </w:rPr>
            </w:pPr>
            <w:r>
              <w:rPr>
                <w:rFonts w:ascii="Arial" w:cs="Arial" w:eastAsia="Arial" w:hAnsi="Arial"/>
                <w:sz w:val="22"/>
                <w:szCs w:val="22"/>
                <w:color w:val="auto"/>
              </w:rPr>
              <w:t>(593)</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540" w:type="dxa"/>
            <w:vAlign w:val="bottom"/>
            <w:shd w:val="clear" w:color="auto" w:fill="CCEEFF"/>
          </w:tcPr>
          <w:p>
            <w:pPr>
              <w:ind w:left="100"/>
              <w:spacing w:after="0" w:line="243" w:lineRule="exact"/>
              <w:rPr>
                <w:sz w:val="20"/>
                <w:szCs w:val="20"/>
                <w:color w:val="auto"/>
              </w:rPr>
            </w:pPr>
            <w:r>
              <w:rPr>
                <w:rFonts w:ascii="Arial" w:cs="Arial" w:eastAsia="Arial" w:hAnsi="Arial"/>
                <w:sz w:val="22"/>
                <w:szCs w:val="22"/>
                <w:color w:val="auto"/>
              </w:rPr>
              <w:t>Other</w:t>
            </w:r>
          </w:p>
        </w:tc>
        <w:tc>
          <w:tcPr>
            <w:tcW w:w="38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line="243" w:lineRule="exact"/>
              <w:rPr>
                <w:sz w:val="20"/>
                <w:szCs w:val="20"/>
                <w:color w:val="auto"/>
              </w:rPr>
            </w:pPr>
            <w:r>
              <w:rPr>
                <w:rFonts w:ascii="Arial" w:cs="Arial" w:eastAsia="Arial" w:hAnsi="Arial"/>
                <w:sz w:val="22"/>
                <w:szCs w:val="22"/>
                <w:color w:val="auto"/>
              </w:rPr>
              <w:t>325</w:t>
            </w:r>
          </w:p>
        </w:tc>
        <w:tc>
          <w:tcPr>
            <w:tcW w:w="200" w:type="dxa"/>
            <w:vAlign w:val="bottom"/>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spacing w:after="0" w:line="243" w:lineRule="exact"/>
              <w:rPr>
                <w:sz w:val="20"/>
                <w:szCs w:val="20"/>
                <w:color w:val="auto"/>
              </w:rPr>
            </w:pPr>
            <w:r>
              <w:rPr>
                <w:rFonts w:ascii="Arial" w:cs="Arial" w:eastAsia="Arial" w:hAnsi="Arial"/>
                <w:sz w:val="22"/>
                <w:szCs w:val="22"/>
                <w:color w:val="auto"/>
              </w:rPr>
              <w:t>1,238</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540" w:type="dxa"/>
            <w:vAlign w:val="bottom"/>
          </w:tcPr>
          <w:p>
            <w:pPr>
              <w:spacing w:after="0" w:line="237" w:lineRule="exact"/>
              <w:rPr>
                <w:sz w:val="20"/>
                <w:szCs w:val="20"/>
                <w:color w:val="auto"/>
              </w:rPr>
            </w:pPr>
            <w:r>
              <w:rPr>
                <w:rFonts w:ascii="Arial" w:cs="Arial" w:eastAsia="Arial" w:hAnsi="Arial"/>
                <w:sz w:val="22"/>
                <w:szCs w:val="22"/>
                <w:color w:val="auto"/>
              </w:rPr>
              <w:t>Income before income taxes</w:t>
            </w:r>
          </w:p>
        </w:tc>
        <w:tc>
          <w:tcPr>
            <w:tcW w:w="380" w:type="dxa"/>
            <w:vAlign w:val="bottom"/>
          </w:tcPr>
          <w:p>
            <w:pPr>
              <w:spacing w:after="0"/>
              <w:rPr>
                <w:sz w:val="20"/>
                <w:szCs w:val="20"/>
                <w:color w:val="auto"/>
              </w:rPr>
            </w:pPr>
          </w:p>
        </w:tc>
        <w:tc>
          <w:tcPr>
            <w:tcW w:w="1120" w:type="dxa"/>
            <w:vAlign w:val="bottom"/>
          </w:tcPr>
          <w:p>
            <w:pPr>
              <w:jc w:val="right"/>
              <w:spacing w:after="0" w:line="237" w:lineRule="exact"/>
              <w:rPr>
                <w:sz w:val="20"/>
                <w:szCs w:val="20"/>
                <w:color w:val="auto"/>
              </w:rPr>
            </w:pPr>
            <w:r>
              <w:rPr>
                <w:rFonts w:ascii="Arial" w:cs="Arial" w:eastAsia="Arial" w:hAnsi="Arial"/>
                <w:sz w:val="22"/>
                <w:szCs w:val="22"/>
                <w:color w:val="auto"/>
              </w:rPr>
              <w:t>82,151</w:t>
            </w:r>
          </w:p>
        </w:tc>
        <w:tc>
          <w:tcPr>
            <w:tcW w:w="2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20" w:type="dxa"/>
            <w:vAlign w:val="bottom"/>
          </w:tcPr>
          <w:p>
            <w:pPr>
              <w:jc w:val="right"/>
              <w:spacing w:after="0" w:line="237" w:lineRule="exact"/>
              <w:rPr>
                <w:sz w:val="20"/>
                <w:szCs w:val="20"/>
                <w:color w:val="auto"/>
              </w:rPr>
            </w:pPr>
            <w:r>
              <w:rPr>
                <w:rFonts w:ascii="Arial" w:cs="Arial" w:eastAsia="Arial" w:hAnsi="Arial"/>
                <w:sz w:val="22"/>
                <w:szCs w:val="22"/>
                <w:color w:val="auto"/>
              </w:rPr>
              <w:t>79,625</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540" w:type="dxa"/>
            <w:vAlign w:val="bottom"/>
            <w:shd w:val="clear" w:color="auto" w:fill="CCEEFF"/>
          </w:tcPr>
          <w:p>
            <w:pPr>
              <w:spacing w:after="0" w:line="243" w:lineRule="exact"/>
              <w:rPr>
                <w:sz w:val="20"/>
                <w:szCs w:val="20"/>
                <w:color w:val="auto"/>
              </w:rPr>
            </w:pPr>
            <w:r>
              <w:rPr>
                <w:rFonts w:ascii="Arial" w:cs="Arial" w:eastAsia="Arial" w:hAnsi="Arial"/>
                <w:sz w:val="22"/>
                <w:szCs w:val="22"/>
                <w:color w:val="auto"/>
              </w:rPr>
              <w:t>Provision for income taxes</w:t>
            </w:r>
          </w:p>
        </w:tc>
        <w:tc>
          <w:tcPr>
            <w:tcW w:w="38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line="243" w:lineRule="exact"/>
              <w:rPr>
                <w:sz w:val="20"/>
                <w:szCs w:val="20"/>
                <w:color w:val="auto"/>
              </w:rPr>
            </w:pPr>
            <w:r>
              <w:rPr>
                <w:rFonts w:ascii="Arial" w:cs="Arial" w:eastAsia="Arial" w:hAnsi="Arial"/>
                <w:sz w:val="22"/>
                <w:szCs w:val="22"/>
                <w:color w:val="auto"/>
              </w:rPr>
              <w:t>3,935</w:t>
            </w:r>
          </w:p>
        </w:tc>
        <w:tc>
          <w:tcPr>
            <w:tcW w:w="200" w:type="dxa"/>
            <w:vAlign w:val="bottom"/>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spacing w:after="0" w:line="243" w:lineRule="exact"/>
              <w:rPr>
                <w:sz w:val="20"/>
                <w:szCs w:val="20"/>
                <w:color w:val="auto"/>
              </w:rPr>
            </w:pPr>
            <w:r>
              <w:rPr>
                <w:rFonts w:ascii="Arial" w:cs="Arial" w:eastAsia="Arial" w:hAnsi="Arial"/>
                <w:sz w:val="22"/>
                <w:szCs w:val="22"/>
                <w:color w:val="auto"/>
              </w:rPr>
              <w:t>3,400</w:t>
            </w:r>
          </w:p>
        </w:tc>
        <w:tc>
          <w:tcPr>
            <w:tcW w:w="0" w:type="dxa"/>
            <w:vAlign w:val="bottom"/>
          </w:tcPr>
          <w:p>
            <w:pPr>
              <w:spacing w:after="0"/>
              <w:rPr>
                <w:sz w:val="1"/>
                <w:szCs w:val="1"/>
                <w:color w:val="auto"/>
              </w:rPr>
            </w:pPr>
          </w:p>
        </w:tc>
      </w:tr>
      <w:tr>
        <w:trPr>
          <w:trHeight w:val="244"/>
        </w:trPr>
        <w:tc>
          <w:tcPr>
            <w:tcW w:w="6560" w:type="dxa"/>
            <w:vAlign w:val="bottom"/>
            <w:gridSpan w:val="2"/>
          </w:tcPr>
          <w:p>
            <w:pPr>
              <w:spacing w:after="0" w:line="237" w:lineRule="exact"/>
              <w:rPr>
                <w:sz w:val="20"/>
                <w:szCs w:val="20"/>
                <w:color w:val="auto"/>
              </w:rPr>
            </w:pPr>
            <w:r>
              <w:rPr>
                <w:rFonts w:ascii="Arial" w:cs="Arial" w:eastAsia="Arial" w:hAnsi="Arial"/>
                <w:sz w:val="22"/>
                <w:szCs w:val="22"/>
                <w:color w:val="auto"/>
              </w:rPr>
              <w:t>Net income</w:t>
            </w:r>
          </w:p>
        </w:tc>
        <w:tc>
          <w:tcPr>
            <w:tcW w:w="380" w:type="dxa"/>
            <w:vAlign w:val="bottom"/>
          </w:tcPr>
          <w:p>
            <w:pPr>
              <w:jc w:val="right"/>
              <w:ind w:right="52"/>
              <w:spacing w:after="0" w:line="237" w:lineRule="exact"/>
              <w:rPr>
                <w:sz w:val="20"/>
                <w:szCs w:val="20"/>
                <w:color w:val="auto"/>
              </w:rPr>
            </w:pPr>
            <w:r>
              <w:rPr>
                <w:rFonts w:ascii="Arial" w:cs="Arial" w:eastAsia="Arial" w:hAnsi="Arial"/>
                <w:sz w:val="22"/>
                <w:szCs w:val="22"/>
                <w:color w:val="auto"/>
              </w:rPr>
              <w:t>$</w:t>
            </w:r>
          </w:p>
        </w:tc>
        <w:tc>
          <w:tcPr>
            <w:tcW w:w="1120" w:type="dxa"/>
            <w:vAlign w:val="bottom"/>
          </w:tcPr>
          <w:p>
            <w:pPr>
              <w:jc w:val="right"/>
              <w:spacing w:after="0" w:line="237" w:lineRule="exact"/>
              <w:rPr>
                <w:sz w:val="20"/>
                <w:szCs w:val="20"/>
                <w:color w:val="auto"/>
              </w:rPr>
            </w:pPr>
            <w:r>
              <w:rPr>
                <w:rFonts w:ascii="Arial" w:cs="Arial" w:eastAsia="Arial" w:hAnsi="Arial"/>
                <w:sz w:val="22"/>
                <w:szCs w:val="22"/>
                <w:color w:val="auto"/>
              </w:rPr>
              <w:t>78,216</w:t>
            </w:r>
          </w:p>
        </w:tc>
        <w:tc>
          <w:tcPr>
            <w:tcW w:w="200" w:type="dxa"/>
            <w:vAlign w:val="bottom"/>
          </w:tcPr>
          <w:p>
            <w:pPr>
              <w:spacing w:after="0"/>
              <w:rPr>
                <w:sz w:val="21"/>
                <w:szCs w:val="21"/>
                <w:color w:val="auto"/>
              </w:rPr>
            </w:pPr>
          </w:p>
        </w:tc>
        <w:tc>
          <w:tcPr>
            <w:tcW w:w="460" w:type="dxa"/>
            <w:vAlign w:val="bottom"/>
          </w:tcPr>
          <w:p>
            <w:pPr>
              <w:jc w:val="right"/>
              <w:ind w:right="172"/>
              <w:spacing w:after="0" w:line="237" w:lineRule="exact"/>
              <w:rPr>
                <w:sz w:val="20"/>
                <w:szCs w:val="20"/>
                <w:color w:val="auto"/>
              </w:rPr>
            </w:pPr>
            <w:r>
              <w:rPr>
                <w:rFonts w:ascii="Arial" w:cs="Arial" w:eastAsia="Arial" w:hAnsi="Arial"/>
                <w:sz w:val="22"/>
                <w:szCs w:val="22"/>
                <w:color w:val="auto"/>
              </w:rPr>
              <w:t>$</w:t>
            </w:r>
          </w:p>
        </w:tc>
        <w:tc>
          <w:tcPr>
            <w:tcW w:w="920" w:type="dxa"/>
            <w:vAlign w:val="bottom"/>
          </w:tcPr>
          <w:p>
            <w:pPr>
              <w:jc w:val="right"/>
              <w:spacing w:after="0" w:line="237" w:lineRule="exact"/>
              <w:rPr>
                <w:sz w:val="20"/>
                <w:szCs w:val="20"/>
                <w:color w:val="auto"/>
              </w:rPr>
            </w:pPr>
            <w:r>
              <w:rPr>
                <w:rFonts w:ascii="Arial" w:cs="Arial" w:eastAsia="Arial" w:hAnsi="Arial"/>
                <w:sz w:val="22"/>
                <w:szCs w:val="22"/>
                <w:color w:val="auto"/>
              </w:rPr>
              <w:t>76,225</w:t>
            </w: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6540" w:type="dxa"/>
            <w:vAlign w:val="bottom"/>
            <w:tcBorders>
              <w:top w:val="single" w:sz="8" w:color="CCEEFF"/>
            </w:tcBorders>
            <w:shd w:val="clear" w:color="auto" w:fill="CCEEFF"/>
          </w:tcPr>
          <w:p>
            <w:pPr>
              <w:spacing w:after="0"/>
              <w:rPr>
                <w:sz w:val="21"/>
                <w:szCs w:val="21"/>
                <w:color w:val="auto"/>
              </w:rPr>
            </w:pPr>
          </w:p>
        </w:tc>
        <w:tc>
          <w:tcPr>
            <w:tcW w:w="380" w:type="dxa"/>
            <w:vAlign w:val="bottom"/>
            <w:tcBorders>
              <w:top w:val="single" w:sz="8" w:color="auto"/>
            </w:tcBorders>
            <w:shd w:val="clear" w:color="auto" w:fill="CCEEFF"/>
          </w:tcPr>
          <w:p>
            <w:pPr>
              <w:spacing w:after="0"/>
              <w:rPr>
                <w:sz w:val="21"/>
                <w:szCs w:val="21"/>
                <w:color w:val="auto"/>
              </w:rPr>
            </w:pPr>
          </w:p>
        </w:tc>
        <w:tc>
          <w:tcPr>
            <w:tcW w:w="1120" w:type="dxa"/>
            <w:vAlign w:val="bottom"/>
            <w:tcBorders>
              <w:top w:val="single" w:sz="8" w:color="auto"/>
            </w:tcBorders>
            <w:shd w:val="clear" w:color="auto" w:fill="CCEEFF"/>
          </w:tcPr>
          <w:p>
            <w:pPr>
              <w:spacing w:after="0"/>
              <w:rPr>
                <w:sz w:val="21"/>
                <w:szCs w:val="21"/>
                <w:color w:val="auto"/>
              </w:rPr>
            </w:pPr>
          </w:p>
        </w:tc>
        <w:tc>
          <w:tcPr>
            <w:tcW w:w="200" w:type="dxa"/>
            <w:vAlign w:val="bottom"/>
            <w:tcBorders>
              <w:top w:val="single" w:sz="8" w:color="CCEEFF"/>
            </w:tcBorders>
            <w:shd w:val="clear" w:color="auto" w:fill="CCEEFF"/>
          </w:tcPr>
          <w:p>
            <w:pPr>
              <w:spacing w:after="0"/>
              <w:rPr>
                <w:sz w:val="21"/>
                <w:szCs w:val="21"/>
                <w:color w:val="auto"/>
              </w:rPr>
            </w:pPr>
          </w:p>
        </w:tc>
        <w:tc>
          <w:tcPr>
            <w:tcW w:w="460" w:type="dxa"/>
            <w:vAlign w:val="bottom"/>
            <w:tcBorders>
              <w:top w:val="single" w:sz="8" w:color="auto"/>
            </w:tcBorders>
            <w:shd w:val="clear" w:color="auto" w:fill="CCEEFF"/>
          </w:tcPr>
          <w:p>
            <w:pPr>
              <w:spacing w:after="0"/>
              <w:rPr>
                <w:sz w:val="21"/>
                <w:szCs w:val="21"/>
                <w:color w:val="auto"/>
              </w:rPr>
            </w:pPr>
          </w:p>
        </w:tc>
        <w:tc>
          <w:tcPr>
            <w:tcW w:w="920" w:type="dxa"/>
            <w:vAlign w:val="bottom"/>
            <w:tcBorders>
              <w:top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6540" w:type="dxa"/>
            <w:vAlign w:val="bottom"/>
          </w:tcPr>
          <w:p>
            <w:pPr>
              <w:spacing w:after="0" w:line="243" w:lineRule="exact"/>
              <w:rPr>
                <w:sz w:val="20"/>
                <w:szCs w:val="20"/>
                <w:color w:val="auto"/>
              </w:rPr>
            </w:pPr>
            <w:r>
              <w:rPr>
                <w:rFonts w:ascii="Arial" w:cs="Arial" w:eastAsia="Arial" w:hAnsi="Arial"/>
                <w:sz w:val="22"/>
                <w:szCs w:val="22"/>
                <w:color w:val="auto"/>
              </w:rPr>
              <w:t>Net income per common share:</w:t>
            </w:r>
          </w:p>
        </w:tc>
        <w:tc>
          <w:tcPr>
            <w:tcW w:w="3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6540" w:type="dxa"/>
            <w:vAlign w:val="bottom"/>
            <w:tcBorders>
              <w:bottom w:val="single" w:sz="8" w:color="CCEEFF"/>
            </w:tcBorders>
            <w:shd w:val="clear" w:color="auto" w:fill="CCEEFF"/>
          </w:tcPr>
          <w:p>
            <w:pPr>
              <w:ind w:left="100"/>
              <w:spacing w:after="0" w:line="243" w:lineRule="exact"/>
              <w:rPr>
                <w:sz w:val="20"/>
                <w:szCs w:val="20"/>
                <w:color w:val="auto"/>
              </w:rPr>
            </w:pPr>
            <w:r>
              <w:rPr>
                <w:rFonts w:ascii="Arial" w:cs="Arial" w:eastAsia="Arial" w:hAnsi="Arial"/>
                <w:sz w:val="22"/>
                <w:szCs w:val="22"/>
                <w:color w:val="auto"/>
              </w:rPr>
              <w:t>Basic</w:t>
            </w:r>
          </w:p>
        </w:tc>
        <w:tc>
          <w:tcPr>
            <w:tcW w:w="380" w:type="dxa"/>
            <w:vAlign w:val="bottom"/>
            <w:tcBorders>
              <w:bottom w:val="single" w:sz="8" w:color="auto"/>
            </w:tcBorders>
            <w:shd w:val="clear" w:color="auto" w:fill="CCEEFF"/>
          </w:tcPr>
          <w:p>
            <w:pPr>
              <w:jc w:val="right"/>
              <w:ind w:right="52"/>
              <w:spacing w:after="0" w:line="243" w:lineRule="exact"/>
              <w:rPr>
                <w:sz w:val="20"/>
                <w:szCs w:val="20"/>
                <w:color w:val="auto"/>
              </w:rPr>
            </w:pPr>
            <w:r>
              <w:rPr>
                <w:rFonts w:ascii="Arial" w:cs="Arial" w:eastAsia="Arial" w:hAnsi="Arial"/>
                <w:sz w:val="22"/>
                <w:szCs w:val="22"/>
                <w:color w:val="auto"/>
              </w:rPr>
              <w:t>$</w:t>
            </w:r>
          </w:p>
        </w:tc>
        <w:tc>
          <w:tcPr>
            <w:tcW w:w="1120" w:type="dxa"/>
            <w:vAlign w:val="bottom"/>
            <w:tcBorders>
              <w:bottom w:val="single" w:sz="8" w:color="auto"/>
            </w:tcBorders>
            <w:shd w:val="clear" w:color="auto" w:fill="CCEEFF"/>
          </w:tcPr>
          <w:p>
            <w:pPr>
              <w:jc w:val="right"/>
              <w:spacing w:after="0" w:line="243" w:lineRule="exact"/>
              <w:rPr>
                <w:sz w:val="20"/>
                <w:szCs w:val="20"/>
                <w:color w:val="auto"/>
              </w:rPr>
            </w:pPr>
            <w:r>
              <w:rPr>
                <w:rFonts w:ascii="Arial" w:cs="Arial" w:eastAsia="Arial" w:hAnsi="Arial"/>
                <w:sz w:val="22"/>
                <w:szCs w:val="22"/>
                <w:color w:val="auto"/>
              </w:rPr>
              <w:t>0.44</w:t>
            </w:r>
          </w:p>
        </w:tc>
        <w:tc>
          <w:tcPr>
            <w:tcW w:w="2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jc w:val="right"/>
              <w:ind w:right="172"/>
              <w:spacing w:after="0" w:line="243" w:lineRule="exact"/>
              <w:rPr>
                <w:sz w:val="20"/>
                <w:szCs w:val="20"/>
                <w:color w:val="auto"/>
              </w:rPr>
            </w:pPr>
            <w:r>
              <w:rPr>
                <w:rFonts w:ascii="Arial" w:cs="Arial" w:eastAsia="Arial" w:hAnsi="Arial"/>
                <w:sz w:val="22"/>
                <w:szCs w:val="22"/>
                <w:color w:val="auto"/>
              </w:rPr>
              <w:t>$</w:t>
            </w:r>
          </w:p>
        </w:tc>
        <w:tc>
          <w:tcPr>
            <w:tcW w:w="920" w:type="dxa"/>
            <w:vAlign w:val="bottom"/>
            <w:tcBorders>
              <w:bottom w:val="single" w:sz="8" w:color="auto"/>
            </w:tcBorders>
            <w:shd w:val="clear" w:color="auto" w:fill="CCEEFF"/>
          </w:tcPr>
          <w:p>
            <w:pPr>
              <w:jc w:val="right"/>
              <w:spacing w:after="0" w:line="243" w:lineRule="exact"/>
              <w:rPr>
                <w:sz w:val="20"/>
                <w:szCs w:val="20"/>
                <w:color w:val="auto"/>
              </w:rPr>
            </w:pPr>
            <w:r>
              <w:rPr>
                <w:rFonts w:ascii="Arial" w:cs="Arial" w:eastAsia="Arial" w:hAnsi="Arial"/>
                <w:sz w:val="22"/>
                <w:szCs w:val="22"/>
                <w:color w:val="auto"/>
              </w:rPr>
              <w:t>0.43</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540" w:type="dxa"/>
            <w:vAlign w:val="bottom"/>
            <w:tcBorders>
              <w:bottom w:val="single" w:sz="8" w:color="CCEEFF"/>
            </w:tcBorders>
          </w:tcPr>
          <w:p>
            <w:pPr>
              <w:ind w:left="100"/>
              <w:spacing w:after="0" w:line="230" w:lineRule="exact"/>
              <w:rPr>
                <w:sz w:val="20"/>
                <w:szCs w:val="20"/>
                <w:color w:val="auto"/>
              </w:rPr>
            </w:pPr>
            <w:r>
              <w:rPr>
                <w:rFonts w:ascii="Arial" w:cs="Arial" w:eastAsia="Arial" w:hAnsi="Arial"/>
                <w:sz w:val="22"/>
                <w:szCs w:val="22"/>
                <w:color w:val="auto"/>
              </w:rPr>
              <w:t>Diluted</w:t>
            </w:r>
          </w:p>
        </w:tc>
        <w:tc>
          <w:tcPr>
            <w:tcW w:w="380" w:type="dxa"/>
            <w:vAlign w:val="bottom"/>
            <w:tcBorders>
              <w:bottom w:val="single" w:sz="8" w:color="auto"/>
            </w:tcBorders>
          </w:tcPr>
          <w:p>
            <w:pPr>
              <w:jc w:val="right"/>
              <w:ind w:right="52"/>
              <w:spacing w:after="0" w:line="230" w:lineRule="exact"/>
              <w:rPr>
                <w:sz w:val="20"/>
                <w:szCs w:val="20"/>
                <w:color w:val="auto"/>
              </w:rPr>
            </w:pPr>
            <w:r>
              <w:rPr>
                <w:rFonts w:ascii="Arial" w:cs="Arial" w:eastAsia="Arial" w:hAnsi="Arial"/>
                <w:sz w:val="22"/>
                <w:szCs w:val="22"/>
                <w:color w:val="auto"/>
              </w:rPr>
              <w:t>$</w:t>
            </w:r>
          </w:p>
        </w:tc>
        <w:tc>
          <w:tcPr>
            <w:tcW w:w="1120" w:type="dxa"/>
            <w:vAlign w:val="bottom"/>
            <w:tcBorders>
              <w:bottom w:val="single" w:sz="8" w:color="auto"/>
            </w:tcBorders>
          </w:tcPr>
          <w:p>
            <w:pPr>
              <w:jc w:val="right"/>
              <w:spacing w:after="0" w:line="230" w:lineRule="exact"/>
              <w:rPr>
                <w:sz w:val="20"/>
                <w:szCs w:val="20"/>
                <w:color w:val="auto"/>
              </w:rPr>
            </w:pPr>
            <w:r>
              <w:rPr>
                <w:rFonts w:ascii="Arial" w:cs="Arial" w:eastAsia="Arial" w:hAnsi="Arial"/>
                <w:sz w:val="22"/>
                <w:szCs w:val="22"/>
                <w:color w:val="auto"/>
              </w:rPr>
              <w:t>0.44</w:t>
            </w:r>
          </w:p>
        </w:tc>
        <w:tc>
          <w:tcPr>
            <w:tcW w:w="200" w:type="dxa"/>
            <w:vAlign w:val="bottom"/>
            <w:tcBorders>
              <w:bottom w:val="single" w:sz="8" w:color="CCEEFF"/>
            </w:tcBorders>
          </w:tcPr>
          <w:p>
            <w:pPr>
              <w:spacing w:after="0"/>
              <w:rPr>
                <w:sz w:val="20"/>
                <w:szCs w:val="20"/>
                <w:color w:val="auto"/>
              </w:rPr>
            </w:pPr>
          </w:p>
        </w:tc>
        <w:tc>
          <w:tcPr>
            <w:tcW w:w="460" w:type="dxa"/>
            <w:vAlign w:val="bottom"/>
            <w:tcBorders>
              <w:bottom w:val="single" w:sz="8" w:color="auto"/>
            </w:tcBorders>
          </w:tcPr>
          <w:p>
            <w:pPr>
              <w:jc w:val="right"/>
              <w:ind w:right="172"/>
              <w:spacing w:after="0" w:line="230" w:lineRule="exact"/>
              <w:rPr>
                <w:sz w:val="20"/>
                <w:szCs w:val="20"/>
                <w:color w:val="auto"/>
              </w:rPr>
            </w:pPr>
            <w:r>
              <w:rPr>
                <w:rFonts w:ascii="Arial" w:cs="Arial" w:eastAsia="Arial" w:hAnsi="Arial"/>
                <w:sz w:val="22"/>
                <w:szCs w:val="22"/>
                <w:color w:val="auto"/>
              </w:rPr>
              <w:t>$</w:t>
            </w:r>
          </w:p>
        </w:tc>
        <w:tc>
          <w:tcPr>
            <w:tcW w:w="920" w:type="dxa"/>
            <w:vAlign w:val="bottom"/>
            <w:tcBorders>
              <w:bottom w:val="single" w:sz="8" w:color="auto"/>
            </w:tcBorders>
          </w:tcPr>
          <w:p>
            <w:pPr>
              <w:jc w:val="right"/>
              <w:spacing w:after="0" w:line="230" w:lineRule="exact"/>
              <w:rPr>
                <w:sz w:val="20"/>
                <w:szCs w:val="20"/>
                <w:color w:val="auto"/>
              </w:rPr>
            </w:pPr>
            <w:r>
              <w:rPr>
                <w:rFonts w:ascii="Arial" w:cs="Arial" w:eastAsia="Arial" w:hAnsi="Arial"/>
                <w:sz w:val="22"/>
                <w:szCs w:val="22"/>
                <w:color w:val="auto"/>
              </w:rPr>
              <w:t>0.43</w:t>
            </w: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654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6540" w:type="dxa"/>
            <w:vAlign w:val="bottom"/>
          </w:tcPr>
          <w:p>
            <w:pPr>
              <w:spacing w:after="0" w:line="243" w:lineRule="exact"/>
              <w:rPr>
                <w:sz w:val="20"/>
                <w:szCs w:val="20"/>
                <w:color w:val="auto"/>
              </w:rPr>
            </w:pPr>
            <w:r>
              <w:rPr>
                <w:rFonts w:ascii="Arial" w:cs="Arial" w:eastAsia="Arial" w:hAnsi="Arial"/>
                <w:sz w:val="22"/>
                <w:szCs w:val="22"/>
                <w:color w:val="auto"/>
              </w:rPr>
              <w:t>Average common shares outstanding during the period:</w:t>
            </w:r>
          </w:p>
        </w:tc>
        <w:tc>
          <w:tcPr>
            <w:tcW w:w="3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6540" w:type="dxa"/>
            <w:vAlign w:val="bottom"/>
            <w:tcBorders>
              <w:bottom w:val="single" w:sz="8" w:color="CCEEFF"/>
            </w:tcBorders>
            <w:shd w:val="clear" w:color="auto" w:fill="CCEEFF"/>
          </w:tcPr>
          <w:p>
            <w:pPr>
              <w:ind w:left="100"/>
              <w:spacing w:after="0" w:line="243" w:lineRule="exact"/>
              <w:rPr>
                <w:sz w:val="20"/>
                <w:szCs w:val="20"/>
                <w:color w:val="auto"/>
              </w:rPr>
            </w:pPr>
            <w:r>
              <w:rPr>
                <w:rFonts w:ascii="Arial" w:cs="Arial" w:eastAsia="Arial" w:hAnsi="Arial"/>
                <w:sz w:val="22"/>
                <w:szCs w:val="22"/>
                <w:color w:val="auto"/>
              </w:rPr>
              <w:t>Basic</w:t>
            </w:r>
          </w:p>
        </w:tc>
        <w:tc>
          <w:tcPr>
            <w:tcW w:w="38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spacing w:after="0" w:line="243" w:lineRule="exact"/>
              <w:rPr>
                <w:sz w:val="20"/>
                <w:szCs w:val="20"/>
                <w:color w:val="auto"/>
              </w:rPr>
            </w:pPr>
            <w:r>
              <w:rPr>
                <w:rFonts w:ascii="Arial" w:cs="Arial" w:eastAsia="Arial" w:hAnsi="Arial"/>
                <w:sz w:val="22"/>
                <w:szCs w:val="22"/>
                <w:color w:val="auto"/>
              </w:rPr>
              <w:t>177,923</w:t>
            </w:r>
          </w:p>
        </w:tc>
        <w:tc>
          <w:tcPr>
            <w:tcW w:w="2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jc w:val="right"/>
              <w:spacing w:after="0" w:line="243" w:lineRule="exact"/>
              <w:rPr>
                <w:sz w:val="20"/>
                <w:szCs w:val="20"/>
                <w:color w:val="auto"/>
              </w:rPr>
            </w:pPr>
            <w:r>
              <w:rPr>
                <w:rFonts w:ascii="Arial" w:cs="Arial" w:eastAsia="Arial" w:hAnsi="Arial"/>
                <w:sz w:val="22"/>
                <w:szCs w:val="22"/>
                <w:color w:val="auto"/>
              </w:rPr>
              <w:t>177,660</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540" w:type="dxa"/>
            <w:vAlign w:val="bottom"/>
            <w:tcBorders>
              <w:bottom w:val="single" w:sz="8" w:color="CCEEFF"/>
            </w:tcBorders>
          </w:tcPr>
          <w:p>
            <w:pPr>
              <w:ind w:left="100"/>
              <w:spacing w:after="0" w:line="230" w:lineRule="exact"/>
              <w:rPr>
                <w:sz w:val="20"/>
                <w:szCs w:val="20"/>
                <w:color w:val="auto"/>
              </w:rPr>
            </w:pPr>
            <w:r>
              <w:rPr>
                <w:rFonts w:ascii="Arial" w:cs="Arial" w:eastAsia="Arial" w:hAnsi="Arial"/>
                <w:sz w:val="22"/>
                <w:szCs w:val="22"/>
                <w:color w:val="auto"/>
              </w:rPr>
              <w:t>Diluted</w:t>
            </w:r>
          </w:p>
        </w:tc>
        <w:tc>
          <w:tcPr>
            <w:tcW w:w="3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line="230" w:lineRule="exact"/>
              <w:rPr>
                <w:sz w:val="20"/>
                <w:szCs w:val="20"/>
                <w:color w:val="auto"/>
              </w:rPr>
            </w:pPr>
            <w:r>
              <w:rPr>
                <w:rFonts w:ascii="Arial" w:cs="Arial" w:eastAsia="Arial" w:hAnsi="Arial"/>
                <w:sz w:val="22"/>
                <w:szCs w:val="22"/>
                <w:color w:val="auto"/>
              </w:rPr>
              <w:t>178,357</w:t>
            </w:r>
          </w:p>
        </w:tc>
        <w:tc>
          <w:tcPr>
            <w:tcW w:w="200" w:type="dxa"/>
            <w:vAlign w:val="bottom"/>
            <w:tcBorders>
              <w:bottom w:val="single" w:sz="8" w:color="CCEEFF"/>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line="230" w:lineRule="exact"/>
              <w:rPr>
                <w:sz w:val="20"/>
                <w:szCs w:val="20"/>
                <w:color w:val="auto"/>
              </w:rPr>
            </w:pPr>
            <w:r>
              <w:rPr>
                <w:rFonts w:ascii="Arial" w:cs="Arial" w:eastAsia="Arial" w:hAnsi="Arial"/>
                <w:sz w:val="22"/>
                <w:szCs w:val="22"/>
                <w:color w:val="auto"/>
              </w:rPr>
              <w:t>178,124</w:t>
            </w: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654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20" w:type="dxa"/>
            <w:vAlign w:val="bottom"/>
            <w:vMerge w:val="continue"/>
          </w:tcPr>
          <w:p>
            <w:pPr>
              <w:spacing w:after="0"/>
              <w:rPr>
                <w:sz w:val="21"/>
                <w:szCs w:val="21"/>
                <w:color w:val="auto"/>
              </w:rPr>
            </w:pPr>
          </w:p>
        </w:tc>
        <w:tc>
          <w:tcPr>
            <w:tcW w:w="6540" w:type="dxa"/>
            <w:vAlign w:val="bottom"/>
          </w:tcPr>
          <w:p>
            <w:pPr>
              <w:spacing w:after="0" w:line="243" w:lineRule="exact"/>
              <w:rPr>
                <w:sz w:val="20"/>
                <w:szCs w:val="20"/>
                <w:color w:val="auto"/>
              </w:rPr>
            </w:pPr>
            <w:r>
              <w:rPr>
                <w:rFonts w:ascii="Arial" w:cs="Arial" w:eastAsia="Arial" w:hAnsi="Arial"/>
                <w:sz w:val="22"/>
                <w:szCs w:val="22"/>
                <w:color w:val="auto"/>
              </w:rPr>
              <w:t>Cash dividends declared per common share</w:t>
            </w:r>
          </w:p>
        </w:tc>
        <w:tc>
          <w:tcPr>
            <w:tcW w:w="380" w:type="dxa"/>
            <w:vAlign w:val="bottom"/>
            <w:tcBorders>
              <w:bottom w:val="single" w:sz="8" w:color="auto"/>
            </w:tcBorders>
          </w:tcPr>
          <w:p>
            <w:pPr>
              <w:jc w:val="right"/>
              <w:ind w:right="52"/>
              <w:spacing w:after="0" w:line="243" w:lineRule="exact"/>
              <w:rPr>
                <w:sz w:val="20"/>
                <w:szCs w:val="20"/>
                <w:color w:val="auto"/>
              </w:rPr>
            </w:pPr>
            <w:r>
              <w:rPr>
                <w:rFonts w:ascii="Arial" w:cs="Arial" w:eastAsia="Arial" w:hAnsi="Arial"/>
                <w:sz w:val="22"/>
                <w:szCs w:val="22"/>
                <w:color w:val="auto"/>
              </w:rPr>
              <w:t>$</w:t>
            </w:r>
          </w:p>
        </w:tc>
        <w:tc>
          <w:tcPr>
            <w:tcW w:w="1120" w:type="dxa"/>
            <w:vAlign w:val="bottom"/>
            <w:tcBorders>
              <w:bottom w:val="single" w:sz="8" w:color="auto"/>
            </w:tcBorders>
          </w:tcPr>
          <w:p>
            <w:pPr>
              <w:jc w:val="right"/>
              <w:spacing w:after="0" w:line="243" w:lineRule="exact"/>
              <w:rPr>
                <w:sz w:val="20"/>
                <w:szCs w:val="20"/>
                <w:color w:val="auto"/>
              </w:rPr>
            </w:pPr>
            <w:r>
              <w:rPr>
                <w:rFonts w:ascii="Arial" w:cs="Arial" w:eastAsia="Arial" w:hAnsi="Arial"/>
                <w:sz w:val="22"/>
                <w:szCs w:val="22"/>
                <w:color w:val="auto"/>
              </w:rPr>
              <w:t>0.219</w:t>
            </w:r>
          </w:p>
        </w:tc>
        <w:tc>
          <w:tcPr>
            <w:tcW w:w="200" w:type="dxa"/>
            <w:vAlign w:val="bottom"/>
          </w:tcPr>
          <w:p>
            <w:pPr>
              <w:spacing w:after="0"/>
              <w:rPr>
                <w:sz w:val="21"/>
                <w:szCs w:val="21"/>
                <w:color w:val="auto"/>
              </w:rPr>
            </w:pPr>
          </w:p>
        </w:tc>
        <w:tc>
          <w:tcPr>
            <w:tcW w:w="460" w:type="dxa"/>
            <w:vAlign w:val="bottom"/>
            <w:tcBorders>
              <w:bottom w:val="single" w:sz="8" w:color="auto"/>
            </w:tcBorders>
          </w:tcPr>
          <w:p>
            <w:pPr>
              <w:jc w:val="right"/>
              <w:ind w:right="172"/>
              <w:spacing w:after="0" w:line="243" w:lineRule="exact"/>
              <w:rPr>
                <w:sz w:val="20"/>
                <w:szCs w:val="20"/>
                <w:color w:val="auto"/>
              </w:rPr>
            </w:pPr>
            <w:r>
              <w:rPr>
                <w:rFonts w:ascii="Arial" w:cs="Arial" w:eastAsia="Arial" w:hAnsi="Arial"/>
                <w:sz w:val="22"/>
                <w:szCs w:val="22"/>
                <w:color w:val="auto"/>
              </w:rPr>
              <w:t>$</w:t>
            </w:r>
          </w:p>
        </w:tc>
        <w:tc>
          <w:tcPr>
            <w:tcW w:w="920" w:type="dxa"/>
            <w:vAlign w:val="bottom"/>
            <w:tcBorders>
              <w:bottom w:val="single" w:sz="8" w:color="auto"/>
            </w:tcBorders>
          </w:tcPr>
          <w:p>
            <w:pPr>
              <w:jc w:val="right"/>
              <w:spacing w:after="0" w:line="243" w:lineRule="exact"/>
              <w:rPr>
                <w:sz w:val="20"/>
                <w:szCs w:val="20"/>
                <w:color w:val="auto"/>
              </w:rPr>
            </w:pPr>
            <w:r>
              <w:rPr>
                <w:rFonts w:ascii="Arial" w:cs="Arial" w:eastAsia="Arial" w:hAnsi="Arial"/>
                <w:sz w:val="22"/>
                <w:szCs w:val="22"/>
                <w:color w:val="auto"/>
              </w:rPr>
              <w:t>0.2047</w:t>
            </w:r>
          </w:p>
        </w:tc>
        <w:tc>
          <w:tcPr>
            <w:tcW w:w="0" w:type="dxa"/>
            <w:vAlign w:val="bottom"/>
          </w:tcPr>
          <w:p>
            <w:pPr>
              <w:spacing w:after="0"/>
              <w:rPr>
                <w:sz w:val="1"/>
                <w:szCs w:val="1"/>
                <w:color w:val="auto"/>
              </w:rPr>
            </w:pPr>
          </w:p>
        </w:tc>
      </w:tr>
    </w:tbl>
    <w:p>
      <w:pPr>
        <w:spacing w:after="0" w:line="222" w:lineRule="exact"/>
        <w:rPr>
          <w:sz w:val="20"/>
          <w:szCs w:val="20"/>
          <w:color w:val="auto"/>
        </w:rPr>
      </w:pPr>
    </w:p>
    <w:p>
      <w:pPr>
        <w:spacing w:after="0"/>
        <w:rPr>
          <w:sz w:val="20"/>
          <w:szCs w:val="20"/>
          <w:color w:val="auto"/>
        </w:rPr>
      </w:pPr>
      <w:r>
        <w:rPr>
          <w:rFonts w:ascii="Arial" w:cs="Arial" w:eastAsia="Arial" w:hAnsi="Arial"/>
          <w:sz w:val="22"/>
          <w:szCs w:val="22"/>
          <w:color w:val="auto"/>
        </w:rPr>
        <w:t>See notes to consolidated financial statements beginning on page 9 of this report.</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63500</wp:posOffset>
            </wp:positionV>
            <wp:extent cx="6156960" cy="514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156960" cy="51435"/>
                    </a:xfrm>
                    <a:prstGeom prst="rect">
                      <a:avLst/>
                    </a:prstGeom>
                    <a:noFill/>
                  </pic:spPr>
                </pic:pic>
              </a:graphicData>
            </a:graphic>
          </wp:anchor>
        </w:drawing>
      </w:r>
    </w:p>
    <w:p>
      <w:pPr>
        <w:sectPr>
          <w:pgSz w:w="11900" w:h="16838" w:orient="portrait"/>
          <w:cols w:equalWidth="0" w:num="1">
            <w:col w:w="9640"/>
          </w:cols>
          <w:pgMar w:left="1140" w:top="118" w:right="1119" w:bottom="1440" w:gutter="0" w:footer="0" w:header="0"/>
        </w:sectPr>
      </w:pPr>
    </w:p>
    <w:bookmarkStart w:id="5" w:name="page6"/>
    <w:bookmarkEnd w:id="5"/>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AQUA AMERICA, INC. AND SUBSIDIARIES</w:t>
      </w:r>
    </w:p>
    <w:p>
      <w:pPr>
        <w:spacing w:after="0" w:line="215" w:lineRule="exact"/>
        <w:rPr>
          <w:sz w:val="20"/>
          <w:szCs w:val="20"/>
          <w:color w:val="auto"/>
        </w:rPr>
      </w:pPr>
    </w:p>
    <w:p>
      <w:pPr>
        <w:ind w:left="2560"/>
        <w:spacing w:after="0"/>
        <w:rPr>
          <w:sz w:val="20"/>
          <w:szCs w:val="20"/>
          <w:color w:val="auto"/>
        </w:rPr>
      </w:pPr>
      <w:r>
        <w:rPr>
          <w:rFonts w:ascii="Arial" w:cs="Arial" w:eastAsia="Arial" w:hAnsi="Arial"/>
          <w:sz w:val="22"/>
          <w:szCs w:val="22"/>
          <w:color w:val="auto"/>
        </w:rPr>
        <w:t>CONSOLIDATED STATEMENTS OF NET INCOME</w:t>
      </w:r>
    </w:p>
    <w:p>
      <w:pPr>
        <w:ind w:left="3180"/>
        <w:spacing w:after="0" w:line="238" w:lineRule="auto"/>
        <w:rPr>
          <w:sz w:val="20"/>
          <w:szCs w:val="20"/>
          <w:color w:val="auto"/>
        </w:rPr>
      </w:pPr>
      <w:r>
        <w:rPr>
          <w:rFonts w:ascii="Arial" w:cs="Arial" w:eastAsia="Arial" w:hAnsi="Arial"/>
          <w:sz w:val="22"/>
          <w:szCs w:val="22"/>
          <w:color w:val="auto"/>
        </w:rPr>
        <w:t>(In thousands, except per share amounts)</w:t>
      </w:r>
    </w:p>
    <w:p>
      <w:pPr>
        <w:ind w:left="4120"/>
        <w:spacing w:after="0"/>
        <w:rPr>
          <w:sz w:val="20"/>
          <w:szCs w:val="20"/>
          <w:color w:val="auto"/>
        </w:rPr>
      </w:pPr>
      <w:r>
        <w:rPr>
          <w:rFonts w:ascii="Arial" w:cs="Arial" w:eastAsia="Arial" w:hAnsi="Arial"/>
          <w:sz w:val="22"/>
          <w:szCs w:val="22"/>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66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640" w:type="dxa"/>
            <w:vAlign w:val="bottom"/>
            <w:gridSpan w:val="4"/>
          </w:tcPr>
          <w:p>
            <w:pPr>
              <w:jc w:val="right"/>
              <w:ind w:right="532"/>
              <w:spacing w:after="0"/>
              <w:rPr>
                <w:sz w:val="20"/>
                <w:szCs w:val="20"/>
                <w:color w:val="auto"/>
              </w:rPr>
            </w:pPr>
            <w:r>
              <w:rPr>
                <w:rFonts w:ascii="Arial" w:cs="Arial" w:eastAsia="Arial" w:hAnsi="Arial"/>
                <w:sz w:val="22"/>
                <w:szCs w:val="22"/>
                <w:color w:val="auto"/>
              </w:rPr>
              <w:t>Nine Months Ended</w:t>
            </w: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6620" w:type="dxa"/>
            <w:vAlign w:val="bottom"/>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2640" w:type="dxa"/>
            <w:vAlign w:val="bottom"/>
            <w:tcBorders>
              <w:bottom w:val="single" w:sz="8" w:color="auto"/>
            </w:tcBorders>
            <w:gridSpan w:val="4"/>
          </w:tcPr>
          <w:p>
            <w:pPr>
              <w:jc w:val="right"/>
              <w:ind w:right="772"/>
              <w:spacing w:after="0"/>
              <w:rPr>
                <w:sz w:val="20"/>
                <w:szCs w:val="20"/>
                <w:color w:val="auto"/>
              </w:rPr>
            </w:pPr>
            <w:r>
              <w:rPr>
                <w:rFonts w:ascii="Arial" w:cs="Arial" w:eastAsia="Arial" w:hAnsi="Arial"/>
                <w:sz w:val="22"/>
                <w:szCs w:val="22"/>
                <w:color w:val="auto"/>
              </w:rPr>
              <w:t>September 30,</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62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392"/>
              <w:spacing w:after="0" w:line="237" w:lineRule="exact"/>
              <w:rPr>
                <w:sz w:val="20"/>
                <w:szCs w:val="20"/>
                <w:color w:val="auto"/>
              </w:rPr>
            </w:pPr>
            <w:r>
              <w:rPr>
                <w:rFonts w:ascii="Arial" w:cs="Arial" w:eastAsia="Arial" w:hAnsi="Arial"/>
                <w:sz w:val="22"/>
                <w:szCs w:val="22"/>
                <w:color w:val="auto"/>
              </w:rPr>
              <w:t>2018</w:t>
            </w:r>
          </w:p>
        </w:tc>
        <w:tc>
          <w:tcPr>
            <w:tcW w:w="20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52"/>
              <w:spacing w:after="0" w:line="237" w:lineRule="exact"/>
              <w:rPr>
                <w:sz w:val="20"/>
                <w:szCs w:val="20"/>
                <w:color w:val="auto"/>
              </w:rPr>
            </w:pPr>
            <w:r>
              <w:rPr>
                <w:rFonts w:ascii="Arial" w:cs="Arial" w:eastAsia="Arial" w:hAnsi="Arial"/>
                <w:sz w:val="22"/>
                <w:szCs w:val="22"/>
                <w:color w:val="auto"/>
              </w:rPr>
              <w:t>2017</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620" w:type="dxa"/>
            <w:vAlign w:val="bottom"/>
            <w:shd w:val="clear" w:color="auto" w:fill="CCEEFF"/>
          </w:tcPr>
          <w:p>
            <w:pPr>
              <w:spacing w:after="0" w:line="237" w:lineRule="exact"/>
              <w:rPr>
                <w:sz w:val="20"/>
                <w:szCs w:val="20"/>
                <w:color w:val="auto"/>
              </w:rPr>
            </w:pPr>
            <w:r>
              <w:rPr>
                <w:rFonts w:ascii="Arial" w:cs="Arial" w:eastAsia="Arial" w:hAnsi="Arial"/>
                <w:sz w:val="22"/>
                <w:szCs w:val="22"/>
                <w:color w:val="auto"/>
              </w:rPr>
              <w:t>Operating revenues</w:t>
            </w:r>
          </w:p>
        </w:tc>
        <w:tc>
          <w:tcPr>
            <w:tcW w:w="360" w:type="dxa"/>
            <w:vAlign w:val="bottom"/>
            <w:shd w:val="clear" w:color="auto" w:fill="CCEEFF"/>
          </w:tcPr>
          <w:p>
            <w:pPr>
              <w:jc w:val="right"/>
              <w:ind w:right="52"/>
              <w:spacing w:after="0" w:line="237" w:lineRule="exact"/>
              <w:rPr>
                <w:sz w:val="20"/>
                <w:szCs w:val="20"/>
                <w:color w:val="auto"/>
              </w:rPr>
            </w:pPr>
            <w:r>
              <w:rPr>
                <w:rFonts w:ascii="Arial" w:cs="Arial" w:eastAsia="Arial" w:hAnsi="Arial"/>
                <w:sz w:val="22"/>
                <w:szCs w:val="22"/>
                <w:color w:val="auto"/>
              </w:rPr>
              <w:t>$</w:t>
            </w:r>
          </w:p>
        </w:tc>
        <w:tc>
          <w:tcPr>
            <w:tcW w:w="1080" w:type="dxa"/>
            <w:vAlign w:val="bottom"/>
            <w:shd w:val="clear" w:color="auto" w:fill="CCEEFF"/>
          </w:tcPr>
          <w:p>
            <w:pPr>
              <w:jc w:val="right"/>
              <w:spacing w:after="0" w:line="237" w:lineRule="exact"/>
              <w:rPr>
                <w:sz w:val="20"/>
                <w:szCs w:val="20"/>
                <w:color w:val="auto"/>
              </w:rPr>
            </w:pPr>
            <w:r>
              <w:rPr>
                <w:rFonts w:ascii="Arial" w:cs="Arial" w:eastAsia="Arial" w:hAnsi="Arial"/>
                <w:sz w:val="22"/>
                <w:szCs w:val="22"/>
                <w:color w:val="auto"/>
              </w:rPr>
              <w:t>632,344</w:t>
            </w:r>
          </w:p>
        </w:tc>
        <w:tc>
          <w:tcPr>
            <w:tcW w:w="20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2"/>
              <w:spacing w:after="0" w:line="237" w:lineRule="exact"/>
              <w:rPr>
                <w:sz w:val="20"/>
                <w:szCs w:val="20"/>
                <w:color w:val="auto"/>
              </w:rPr>
            </w:pPr>
            <w:r>
              <w:rPr>
                <w:rFonts w:ascii="Arial" w:cs="Arial" w:eastAsia="Arial" w:hAnsi="Arial"/>
                <w:sz w:val="22"/>
                <w:szCs w:val="22"/>
                <w:color w:val="auto"/>
              </w:rPr>
              <w:t>$</w:t>
            </w:r>
          </w:p>
        </w:tc>
        <w:tc>
          <w:tcPr>
            <w:tcW w:w="1040" w:type="dxa"/>
            <w:vAlign w:val="bottom"/>
            <w:shd w:val="clear" w:color="auto" w:fill="CCEEFF"/>
          </w:tcPr>
          <w:p>
            <w:pPr>
              <w:jc w:val="right"/>
              <w:spacing w:after="0" w:line="237" w:lineRule="exact"/>
              <w:rPr>
                <w:sz w:val="20"/>
                <w:szCs w:val="20"/>
                <w:color w:val="auto"/>
              </w:rPr>
            </w:pPr>
            <w:r>
              <w:rPr>
                <w:rFonts w:ascii="Arial" w:cs="Arial" w:eastAsia="Arial" w:hAnsi="Arial"/>
                <w:sz w:val="22"/>
                <w:szCs w:val="22"/>
                <w:color w:val="auto"/>
              </w:rPr>
              <w:t>606,213</w:t>
            </w: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66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6620" w:type="dxa"/>
            <w:vAlign w:val="bottom"/>
            <w:shd w:val="clear" w:color="auto" w:fill="CCEEFF"/>
          </w:tcPr>
          <w:p>
            <w:pPr>
              <w:spacing w:after="0" w:line="243" w:lineRule="exact"/>
              <w:rPr>
                <w:sz w:val="20"/>
                <w:szCs w:val="20"/>
                <w:color w:val="auto"/>
              </w:rPr>
            </w:pPr>
            <w:r>
              <w:rPr>
                <w:rFonts w:ascii="Arial" w:cs="Arial" w:eastAsia="Arial" w:hAnsi="Arial"/>
                <w:sz w:val="22"/>
                <w:szCs w:val="22"/>
                <w:color w:val="auto"/>
              </w:rPr>
              <w:t>Operating expenses:</w:t>
            </w:r>
          </w:p>
        </w:tc>
        <w:tc>
          <w:tcPr>
            <w:tcW w:w="36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620" w:type="dxa"/>
            <w:vAlign w:val="bottom"/>
          </w:tcPr>
          <w:p>
            <w:pPr>
              <w:ind w:left="100"/>
              <w:spacing w:after="0" w:line="243" w:lineRule="exact"/>
              <w:rPr>
                <w:sz w:val="20"/>
                <w:szCs w:val="20"/>
                <w:color w:val="auto"/>
              </w:rPr>
            </w:pPr>
            <w:r>
              <w:rPr>
                <w:rFonts w:ascii="Arial" w:cs="Arial" w:eastAsia="Arial" w:hAnsi="Arial"/>
                <w:sz w:val="22"/>
                <w:szCs w:val="22"/>
                <w:color w:val="auto"/>
              </w:rPr>
              <w:t>Operations and maintenance</w:t>
            </w:r>
          </w:p>
        </w:tc>
        <w:tc>
          <w:tcPr>
            <w:tcW w:w="360" w:type="dxa"/>
            <w:vAlign w:val="bottom"/>
          </w:tcPr>
          <w:p>
            <w:pPr>
              <w:spacing w:after="0"/>
              <w:rPr>
                <w:sz w:val="21"/>
                <w:szCs w:val="21"/>
                <w:color w:val="auto"/>
              </w:rPr>
            </w:pPr>
          </w:p>
        </w:tc>
        <w:tc>
          <w:tcPr>
            <w:tcW w:w="1080" w:type="dxa"/>
            <w:vAlign w:val="bottom"/>
          </w:tcPr>
          <w:p>
            <w:pPr>
              <w:jc w:val="right"/>
              <w:spacing w:after="0" w:line="243" w:lineRule="exact"/>
              <w:rPr>
                <w:sz w:val="20"/>
                <w:szCs w:val="20"/>
                <w:color w:val="auto"/>
              </w:rPr>
            </w:pPr>
            <w:r>
              <w:rPr>
                <w:rFonts w:ascii="Arial" w:cs="Arial" w:eastAsia="Arial" w:hAnsi="Arial"/>
                <w:sz w:val="22"/>
                <w:szCs w:val="22"/>
                <w:color w:val="auto"/>
              </w:rPr>
              <w:t>216,085</w:t>
            </w:r>
          </w:p>
        </w:tc>
        <w:tc>
          <w:tcPr>
            <w:tcW w:w="2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line="243" w:lineRule="exact"/>
              <w:rPr>
                <w:sz w:val="20"/>
                <w:szCs w:val="20"/>
                <w:color w:val="auto"/>
              </w:rPr>
            </w:pPr>
            <w:r>
              <w:rPr>
                <w:rFonts w:ascii="Arial" w:cs="Arial" w:eastAsia="Arial" w:hAnsi="Arial"/>
                <w:sz w:val="22"/>
                <w:szCs w:val="22"/>
                <w:color w:val="auto"/>
              </w:rPr>
              <w:t>204,249</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620" w:type="dxa"/>
            <w:vAlign w:val="bottom"/>
            <w:shd w:val="clear" w:color="auto" w:fill="CCEEFF"/>
          </w:tcPr>
          <w:p>
            <w:pPr>
              <w:ind w:left="100"/>
              <w:spacing w:after="0" w:line="243" w:lineRule="exact"/>
              <w:rPr>
                <w:sz w:val="20"/>
                <w:szCs w:val="20"/>
                <w:color w:val="auto"/>
              </w:rPr>
            </w:pPr>
            <w:r>
              <w:rPr>
                <w:rFonts w:ascii="Arial" w:cs="Arial" w:eastAsia="Arial" w:hAnsi="Arial"/>
                <w:sz w:val="22"/>
                <w:szCs w:val="22"/>
                <w:color w:val="auto"/>
              </w:rPr>
              <w:t>Depreciation</w:t>
            </w:r>
          </w:p>
        </w:tc>
        <w:tc>
          <w:tcPr>
            <w:tcW w:w="36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line="243" w:lineRule="exact"/>
              <w:rPr>
                <w:sz w:val="20"/>
                <w:szCs w:val="20"/>
                <w:color w:val="auto"/>
              </w:rPr>
            </w:pPr>
            <w:r>
              <w:rPr>
                <w:rFonts w:ascii="Arial" w:cs="Arial" w:eastAsia="Arial" w:hAnsi="Arial"/>
                <w:sz w:val="22"/>
                <w:szCs w:val="22"/>
                <w:color w:val="auto"/>
              </w:rPr>
              <w:t>110,037</w:t>
            </w:r>
          </w:p>
        </w:tc>
        <w:tc>
          <w:tcPr>
            <w:tcW w:w="2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line="243" w:lineRule="exact"/>
              <w:rPr>
                <w:sz w:val="20"/>
                <w:szCs w:val="20"/>
                <w:color w:val="auto"/>
              </w:rPr>
            </w:pPr>
            <w:r>
              <w:rPr>
                <w:rFonts w:ascii="Arial" w:cs="Arial" w:eastAsia="Arial" w:hAnsi="Arial"/>
                <w:sz w:val="22"/>
                <w:szCs w:val="22"/>
                <w:color w:val="auto"/>
              </w:rPr>
              <w:t>101,508</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620" w:type="dxa"/>
            <w:vAlign w:val="bottom"/>
          </w:tcPr>
          <w:p>
            <w:pPr>
              <w:ind w:left="100"/>
              <w:spacing w:after="0" w:line="243" w:lineRule="exact"/>
              <w:rPr>
                <w:sz w:val="20"/>
                <w:szCs w:val="20"/>
                <w:color w:val="auto"/>
              </w:rPr>
            </w:pPr>
            <w:r>
              <w:rPr>
                <w:rFonts w:ascii="Arial" w:cs="Arial" w:eastAsia="Arial" w:hAnsi="Arial"/>
                <w:sz w:val="22"/>
                <w:szCs w:val="22"/>
                <w:color w:val="auto"/>
              </w:rPr>
              <w:t>Amortization</w:t>
            </w:r>
          </w:p>
        </w:tc>
        <w:tc>
          <w:tcPr>
            <w:tcW w:w="360" w:type="dxa"/>
            <w:vAlign w:val="bottom"/>
          </w:tcPr>
          <w:p>
            <w:pPr>
              <w:spacing w:after="0"/>
              <w:rPr>
                <w:sz w:val="21"/>
                <w:szCs w:val="21"/>
                <w:color w:val="auto"/>
              </w:rPr>
            </w:pPr>
          </w:p>
        </w:tc>
        <w:tc>
          <w:tcPr>
            <w:tcW w:w="1080" w:type="dxa"/>
            <w:vAlign w:val="bottom"/>
          </w:tcPr>
          <w:p>
            <w:pPr>
              <w:jc w:val="right"/>
              <w:spacing w:after="0" w:line="243" w:lineRule="exact"/>
              <w:rPr>
                <w:sz w:val="20"/>
                <w:szCs w:val="20"/>
                <w:color w:val="auto"/>
              </w:rPr>
            </w:pPr>
            <w:r>
              <w:rPr>
                <w:rFonts w:ascii="Arial" w:cs="Arial" w:eastAsia="Arial" w:hAnsi="Arial"/>
                <w:sz w:val="22"/>
                <w:szCs w:val="22"/>
                <w:color w:val="auto"/>
              </w:rPr>
              <w:t>478</w:t>
            </w:r>
          </w:p>
        </w:tc>
        <w:tc>
          <w:tcPr>
            <w:tcW w:w="2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line="243" w:lineRule="exact"/>
              <w:rPr>
                <w:sz w:val="20"/>
                <w:szCs w:val="20"/>
                <w:color w:val="auto"/>
              </w:rPr>
            </w:pPr>
            <w:r>
              <w:rPr>
                <w:rFonts w:ascii="Arial" w:cs="Arial" w:eastAsia="Arial" w:hAnsi="Arial"/>
                <w:sz w:val="22"/>
                <w:szCs w:val="22"/>
                <w:color w:val="auto"/>
              </w:rPr>
              <w:t>358</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620" w:type="dxa"/>
            <w:vAlign w:val="bottom"/>
            <w:shd w:val="clear" w:color="auto" w:fill="CCEEFF"/>
          </w:tcPr>
          <w:p>
            <w:pPr>
              <w:ind w:left="100"/>
              <w:spacing w:after="0" w:line="243" w:lineRule="exact"/>
              <w:rPr>
                <w:sz w:val="20"/>
                <w:szCs w:val="20"/>
                <w:color w:val="auto"/>
              </w:rPr>
            </w:pPr>
            <w:r>
              <w:rPr>
                <w:rFonts w:ascii="Arial" w:cs="Arial" w:eastAsia="Arial" w:hAnsi="Arial"/>
                <w:sz w:val="22"/>
                <w:szCs w:val="22"/>
                <w:color w:val="auto"/>
              </w:rPr>
              <w:t>Taxes other than income taxes</w:t>
            </w:r>
          </w:p>
        </w:tc>
        <w:tc>
          <w:tcPr>
            <w:tcW w:w="36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line="243" w:lineRule="exact"/>
              <w:rPr>
                <w:sz w:val="20"/>
                <w:szCs w:val="20"/>
                <w:color w:val="auto"/>
              </w:rPr>
            </w:pPr>
            <w:r>
              <w:rPr>
                <w:rFonts w:ascii="Arial" w:cs="Arial" w:eastAsia="Arial" w:hAnsi="Arial"/>
                <w:sz w:val="22"/>
                <w:szCs w:val="22"/>
                <w:color w:val="auto"/>
              </w:rPr>
              <w:t>45,360</w:t>
            </w:r>
          </w:p>
        </w:tc>
        <w:tc>
          <w:tcPr>
            <w:tcW w:w="20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line="243" w:lineRule="exact"/>
              <w:rPr>
                <w:sz w:val="20"/>
                <w:szCs w:val="20"/>
                <w:color w:val="auto"/>
              </w:rPr>
            </w:pPr>
            <w:r>
              <w:rPr>
                <w:rFonts w:ascii="Arial" w:cs="Arial" w:eastAsia="Arial" w:hAnsi="Arial"/>
                <w:sz w:val="22"/>
                <w:szCs w:val="22"/>
                <w:color w:val="auto"/>
              </w:rPr>
              <w:t>44,390</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620" w:type="dxa"/>
            <w:vAlign w:val="bottom"/>
            <w:tcBorders>
              <w:bottom w:val="single" w:sz="8" w:color="CCEEFF"/>
            </w:tcBorders>
          </w:tcPr>
          <w:p>
            <w:pPr>
              <w:spacing w:after="0" w:line="237" w:lineRule="exact"/>
              <w:rPr>
                <w:sz w:val="20"/>
                <w:szCs w:val="20"/>
                <w:color w:val="auto"/>
              </w:rPr>
            </w:pPr>
            <w:r>
              <w:rPr>
                <w:rFonts w:ascii="Arial" w:cs="Arial" w:eastAsia="Arial" w:hAnsi="Arial"/>
                <w:sz w:val="22"/>
                <w:szCs w:val="22"/>
                <w:color w:val="auto"/>
              </w:rPr>
              <w:t>Total operating expenses</w:t>
            </w:r>
          </w:p>
        </w:tc>
        <w:tc>
          <w:tcPr>
            <w:tcW w:w="3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line="237" w:lineRule="exact"/>
              <w:rPr>
                <w:sz w:val="20"/>
                <w:szCs w:val="20"/>
                <w:color w:val="auto"/>
              </w:rPr>
            </w:pPr>
            <w:r>
              <w:rPr>
                <w:rFonts w:ascii="Arial" w:cs="Arial" w:eastAsia="Arial" w:hAnsi="Arial"/>
                <w:sz w:val="22"/>
                <w:szCs w:val="22"/>
                <w:color w:val="auto"/>
              </w:rPr>
              <w:t>371,960</w:t>
            </w:r>
          </w:p>
        </w:tc>
        <w:tc>
          <w:tcPr>
            <w:tcW w:w="20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line="237" w:lineRule="exact"/>
              <w:rPr>
                <w:sz w:val="20"/>
                <w:szCs w:val="20"/>
                <w:color w:val="auto"/>
              </w:rPr>
            </w:pPr>
            <w:r>
              <w:rPr>
                <w:rFonts w:ascii="Arial" w:cs="Arial" w:eastAsia="Arial" w:hAnsi="Arial"/>
                <w:sz w:val="22"/>
                <w:szCs w:val="22"/>
                <w:color w:val="auto"/>
              </w:rPr>
              <w:t>350,505</w:t>
            </w:r>
          </w:p>
        </w:tc>
        <w:tc>
          <w:tcPr>
            <w:tcW w:w="0" w:type="dxa"/>
            <w:vAlign w:val="bottom"/>
          </w:tcPr>
          <w:p>
            <w:pPr>
              <w:spacing w:after="0"/>
              <w:rPr>
                <w:sz w:val="1"/>
                <w:szCs w:val="1"/>
                <w:color w:val="auto"/>
              </w:rPr>
            </w:pPr>
          </w:p>
        </w:tc>
      </w:tr>
      <w:tr>
        <w:trPr>
          <w:trHeight w:val="237"/>
        </w:trPr>
        <w:tc>
          <w:tcPr>
            <w:tcW w:w="20" w:type="dxa"/>
            <w:vAlign w:val="bottom"/>
            <w:vMerge w:val="restart"/>
          </w:tcPr>
          <w:p>
            <w:pPr>
              <w:spacing w:after="0"/>
              <w:rPr>
                <w:sz w:val="20"/>
                <w:szCs w:val="20"/>
                <w:color w:val="auto"/>
              </w:rPr>
            </w:pPr>
          </w:p>
        </w:tc>
        <w:tc>
          <w:tcPr>
            <w:tcW w:w="66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6620" w:type="dxa"/>
            <w:vAlign w:val="bottom"/>
          </w:tcPr>
          <w:p>
            <w:pPr>
              <w:spacing w:after="0" w:line="243" w:lineRule="exact"/>
              <w:rPr>
                <w:sz w:val="20"/>
                <w:szCs w:val="20"/>
                <w:color w:val="auto"/>
              </w:rPr>
            </w:pPr>
            <w:r>
              <w:rPr>
                <w:rFonts w:ascii="Arial" w:cs="Arial" w:eastAsia="Arial" w:hAnsi="Arial"/>
                <w:sz w:val="22"/>
                <w:szCs w:val="22"/>
                <w:color w:val="auto"/>
              </w:rPr>
              <w:t>Operating income</w:t>
            </w:r>
          </w:p>
        </w:tc>
        <w:tc>
          <w:tcPr>
            <w:tcW w:w="360" w:type="dxa"/>
            <w:vAlign w:val="bottom"/>
          </w:tcPr>
          <w:p>
            <w:pPr>
              <w:spacing w:after="0"/>
              <w:rPr>
                <w:sz w:val="21"/>
                <w:szCs w:val="21"/>
                <w:color w:val="auto"/>
              </w:rPr>
            </w:pPr>
          </w:p>
        </w:tc>
        <w:tc>
          <w:tcPr>
            <w:tcW w:w="1080" w:type="dxa"/>
            <w:vAlign w:val="bottom"/>
          </w:tcPr>
          <w:p>
            <w:pPr>
              <w:jc w:val="right"/>
              <w:spacing w:after="0" w:line="243" w:lineRule="exact"/>
              <w:rPr>
                <w:sz w:val="20"/>
                <w:szCs w:val="20"/>
                <w:color w:val="auto"/>
              </w:rPr>
            </w:pPr>
            <w:r>
              <w:rPr>
                <w:rFonts w:ascii="Arial" w:cs="Arial" w:eastAsia="Arial" w:hAnsi="Arial"/>
                <w:sz w:val="22"/>
                <w:szCs w:val="22"/>
                <w:color w:val="auto"/>
              </w:rPr>
              <w:t>260,384</w:t>
            </w:r>
          </w:p>
        </w:tc>
        <w:tc>
          <w:tcPr>
            <w:tcW w:w="2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line="243" w:lineRule="exact"/>
              <w:rPr>
                <w:sz w:val="20"/>
                <w:szCs w:val="20"/>
                <w:color w:val="auto"/>
              </w:rPr>
            </w:pPr>
            <w:r>
              <w:rPr>
                <w:rFonts w:ascii="Arial" w:cs="Arial" w:eastAsia="Arial" w:hAnsi="Arial"/>
                <w:sz w:val="22"/>
                <w:szCs w:val="22"/>
                <w:color w:val="auto"/>
              </w:rPr>
              <w:t>255,708</w:t>
            </w: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662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6620" w:type="dxa"/>
            <w:vAlign w:val="bottom"/>
          </w:tcPr>
          <w:p>
            <w:pPr>
              <w:spacing w:after="0" w:line="243" w:lineRule="exact"/>
              <w:rPr>
                <w:sz w:val="20"/>
                <w:szCs w:val="20"/>
                <w:color w:val="auto"/>
              </w:rPr>
            </w:pPr>
            <w:r>
              <w:rPr>
                <w:rFonts w:ascii="Arial" w:cs="Arial" w:eastAsia="Arial" w:hAnsi="Arial"/>
                <w:sz w:val="22"/>
                <w:szCs w:val="22"/>
                <w:color w:val="auto"/>
              </w:rPr>
              <w:t>Other expense (income):</w:t>
            </w:r>
          </w:p>
        </w:tc>
        <w:tc>
          <w:tcPr>
            <w:tcW w:w="3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620" w:type="dxa"/>
            <w:vAlign w:val="bottom"/>
            <w:shd w:val="clear" w:color="auto" w:fill="CCEEFF"/>
          </w:tcPr>
          <w:p>
            <w:pPr>
              <w:ind w:left="100"/>
              <w:spacing w:after="0" w:line="243" w:lineRule="exact"/>
              <w:rPr>
                <w:sz w:val="20"/>
                <w:szCs w:val="20"/>
                <w:color w:val="auto"/>
              </w:rPr>
            </w:pPr>
            <w:r>
              <w:rPr>
                <w:rFonts w:ascii="Arial" w:cs="Arial" w:eastAsia="Arial" w:hAnsi="Arial"/>
                <w:sz w:val="22"/>
                <w:szCs w:val="22"/>
                <w:color w:val="auto"/>
              </w:rPr>
              <w:t>Interest expense, net</w:t>
            </w:r>
          </w:p>
        </w:tc>
        <w:tc>
          <w:tcPr>
            <w:tcW w:w="36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line="243" w:lineRule="exact"/>
              <w:rPr>
                <w:sz w:val="20"/>
                <w:szCs w:val="20"/>
                <w:color w:val="auto"/>
              </w:rPr>
            </w:pPr>
            <w:r>
              <w:rPr>
                <w:rFonts w:ascii="Arial" w:cs="Arial" w:eastAsia="Arial" w:hAnsi="Arial"/>
                <w:sz w:val="22"/>
                <w:szCs w:val="22"/>
                <w:color w:val="auto"/>
              </w:rPr>
              <w:t>72,553</w:t>
            </w:r>
          </w:p>
        </w:tc>
        <w:tc>
          <w:tcPr>
            <w:tcW w:w="2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line="243" w:lineRule="exact"/>
              <w:rPr>
                <w:sz w:val="20"/>
                <w:szCs w:val="20"/>
                <w:color w:val="auto"/>
              </w:rPr>
            </w:pPr>
            <w:r>
              <w:rPr>
                <w:rFonts w:ascii="Arial" w:cs="Arial" w:eastAsia="Arial" w:hAnsi="Arial"/>
                <w:sz w:val="22"/>
                <w:szCs w:val="22"/>
                <w:color w:val="auto"/>
              </w:rPr>
              <w:t>65,124</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620" w:type="dxa"/>
            <w:vAlign w:val="bottom"/>
          </w:tcPr>
          <w:p>
            <w:pPr>
              <w:ind w:left="100"/>
              <w:spacing w:after="0" w:line="243" w:lineRule="exact"/>
              <w:rPr>
                <w:sz w:val="20"/>
                <w:szCs w:val="20"/>
                <w:color w:val="auto"/>
              </w:rPr>
            </w:pPr>
            <w:r>
              <w:rPr>
                <w:rFonts w:ascii="Arial" w:cs="Arial" w:eastAsia="Arial" w:hAnsi="Arial"/>
                <w:sz w:val="22"/>
                <w:szCs w:val="22"/>
                <w:color w:val="auto"/>
              </w:rPr>
              <w:t>Allowance for funds used during construction</w:t>
            </w:r>
          </w:p>
        </w:tc>
        <w:tc>
          <w:tcPr>
            <w:tcW w:w="360" w:type="dxa"/>
            <w:vAlign w:val="bottom"/>
          </w:tcPr>
          <w:p>
            <w:pPr>
              <w:spacing w:after="0"/>
              <w:rPr>
                <w:sz w:val="21"/>
                <w:szCs w:val="21"/>
                <w:color w:val="auto"/>
              </w:rPr>
            </w:pPr>
          </w:p>
        </w:tc>
        <w:tc>
          <w:tcPr>
            <w:tcW w:w="1080" w:type="dxa"/>
            <w:vAlign w:val="bottom"/>
          </w:tcPr>
          <w:p>
            <w:pPr>
              <w:jc w:val="right"/>
              <w:spacing w:after="0" w:line="243" w:lineRule="exact"/>
              <w:rPr>
                <w:sz w:val="20"/>
                <w:szCs w:val="20"/>
                <w:color w:val="auto"/>
              </w:rPr>
            </w:pPr>
            <w:r>
              <w:rPr>
                <w:rFonts w:ascii="Arial" w:cs="Arial" w:eastAsia="Arial" w:hAnsi="Arial"/>
                <w:sz w:val="22"/>
                <w:szCs w:val="22"/>
                <w:color w:val="auto"/>
              </w:rPr>
              <w:t>(8,510)</w:t>
            </w:r>
          </w:p>
        </w:tc>
        <w:tc>
          <w:tcPr>
            <w:tcW w:w="2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line="243" w:lineRule="exact"/>
              <w:rPr>
                <w:sz w:val="20"/>
                <w:szCs w:val="20"/>
                <w:color w:val="auto"/>
              </w:rPr>
            </w:pPr>
            <w:r>
              <w:rPr>
                <w:rFonts w:ascii="Arial" w:cs="Arial" w:eastAsia="Arial" w:hAnsi="Arial"/>
                <w:sz w:val="22"/>
                <w:szCs w:val="22"/>
                <w:color w:val="auto"/>
              </w:rPr>
              <w:t>(10,570)</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620" w:type="dxa"/>
            <w:vAlign w:val="bottom"/>
            <w:shd w:val="clear" w:color="auto" w:fill="CCEEFF"/>
          </w:tcPr>
          <w:p>
            <w:pPr>
              <w:ind w:left="100"/>
              <w:spacing w:after="0" w:line="243" w:lineRule="exact"/>
              <w:rPr>
                <w:sz w:val="20"/>
                <w:szCs w:val="20"/>
                <w:color w:val="auto"/>
              </w:rPr>
            </w:pPr>
            <w:r>
              <w:rPr>
                <w:rFonts w:ascii="Arial" w:cs="Arial" w:eastAsia="Arial" w:hAnsi="Arial"/>
                <w:sz w:val="22"/>
                <w:szCs w:val="22"/>
                <w:color w:val="auto"/>
              </w:rPr>
              <w:t>Gain on sale of other assets</w:t>
            </w:r>
          </w:p>
        </w:tc>
        <w:tc>
          <w:tcPr>
            <w:tcW w:w="36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line="243" w:lineRule="exact"/>
              <w:rPr>
                <w:sz w:val="20"/>
                <w:szCs w:val="20"/>
                <w:color w:val="auto"/>
              </w:rPr>
            </w:pPr>
            <w:r>
              <w:rPr>
                <w:rFonts w:ascii="Arial" w:cs="Arial" w:eastAsia="Arial" w:hAnsi="Arial"/>
                <w:sz w:val="22"/>
                <w:szCs w:val="22"/>
                <w:color w:val="auto"/>
              </w:rPr>
              <w:t>(598)</w:t>
            </w:r>
          </w:p>
        </w:tc>
        <w:tc>
          <w:tcPr>
            <w:tcW w:w="2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line="243" w:lineRule="exact"/>
              <w:rPr>
                <w:sz w:val="20"/>
                <w:szCs w:val="20"/>
                <w:color w:val="auto"/>
              </w:rPr>
            </w:pPr>
            <w:r>
              <w:rPr>
                <w:rFonts w:ascii="Arial" w:cs="Arial" w:eastAsia="Arial" w:hAnsi="Arial"/>
                <w:sz w:val="22"/>
                <w:szCs w:val="22"/>
                <w:color w:val="auto"/>
              </w:rPr>
              <w:t>(322)</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620" w:type="dxa"/>
            <w:vAlign w:val="bottom"/>
          </w:tcPr>
          <w:p>
            <w:pPr>
              <w:ind w:left="100"/>
              <w:spacing w:after="0" w:line="243" w:lineRule="exact"/>
              <w:rPr>
                <w:sz w:val="20"/>
                <w:szCs w:val="20"/>
                <w:color w:val="auto"/>
              </w:rPr>
            </w:pPr>
            <w:r>
              <w:rPr>
                <w:rFonts w:ascii="Arial" w:cs="Arial" w:eastAsia="Arial" w:hAnsi="Arial"/>
                <w:sz w:val="22"/>
                <w:szCs w:val="22"/>
                <w:color w:val="auto"/>
              </w:rPr>
              <w:t>Equity earnings in joint venture</w:t>
            </w:r>
          </w:p>
        </w:tc>
        <w:tc>
          <w:tcPr>
            <w:tcW w:w="360" w:type="dxa"/>
            <w:vAlign w:val="bottom"/>
          </w:tcPr>
          <w:p>
            <w:pPr>
              <w:spacing w:after="0"/>
              <w:rPr>
                <w:sz w:val="21"/>
                <w:szCs w:val="21"/>
                <w:color w:val="auto"/>
              </w:rPr>
            </w:pPr>
          </w:p>
        </w:tc>
        <w:tc>
          <w:tcPr>
            <w:tcW w:w="1080" w:type="dxa"/>
            <w:vAlign w:val="bottom"/>
          </w:tcPr>
          <w:p>
            <w:pPr>
              <w:jc w:val="right"/>
              <w:spacing w:after="0" w:line="243" w:lineRule="exact"/>
              <w:rPr>
                <w:sz w:val="20"/>
                <w:szCs w:val="20"/>
                <w:color w:val="auto"/>
              </w:rPr>
            </w:pPr>
            <w:r>
              <w:rPr>
                <w:rFonts w:ascii="Arial" w:cs="Arial" w:eastAsia="Arial" w:hAnsi="Arial"/>
                <w:sz w:val="22"/>
                <w:szCs w:val="22"/>
                <w:color w:val="auto"/>
              </w:rPr>
              <w:t>(1,508)</w:t>
            </w:r>
          </w:p>
        </w:tc>
        <w:tc>
          <w:tcPr>
            <w:tcW w:w="2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line="243" w:lineRule="exact"/>
              <w:rPr>
                <w:sz w:val="20"/>
                <w:szCs w:val="20"/>
                <w:color w:val="auto"/>
              </w:rPr>
            </w:pPr>
            <w:r>
              <w:rPr>
                <w:rFonts w:ascii="Arial" w:cs="Arial" w:eastAsia="Arial" w:hAnsi="Arial"/>
                <w:sz w:val="22"/>
                <w:szCs w:val="22"/>
                <w:color w:val="auto"/>
              </w:rPr>
              <w:t>(402)</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620" w:type="dxa"/>
            <w:vAlign w:val="bottom"/>
            <w:shd w:val="clear" w:color="auto" w:fill="CCEEFF"/>
          </w:tcPr>
          <w:p>
            <w:pPr>
              <w:ind w:left="100"/>
              <w:spacing w:after="0" w:line="243" w:lineRule="exact"/>
              <w:rPr>
                <w:sz w:val="20"/>
                <w:szCs w:val="20"/>
                <w:color w:val="auto"/>
              </w:rPr>
            </w:pPr>
            <w:r>
              <w:rPr>
                <w:rFonts w:ascii="Arial" w:cs="Arial" w:eastAsia="Arial" w:hAnsi="Arial"/>
                <w:sz w:val="22"/>
                <w:szCs w:val="22"/>
                <w:color w:val="auto"/>
              </w:rPr>
              <w:t>Other</w:t>
            </w:r>
          </w:p>
        </w:tc>
        <w:tc>
          <w:tcPr>
            <w:tcW w:w="36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line="243" w:lineRule="exact"/>
              <w:rPr>
                <w:sz w:val="20"/>
                <w:szCs w:val="20"/>
                <w:color w:val="auto"/>
              </w:rPr>
            </w:pPr>
            <w:r>
              <w:rPr>
                <w:rFonts w:ascii="Arial" w:cs="Arial" w:eastAsia="Arial" w:hAnsi="Arial"/>
                <w:sz w:val="22"/>
                <w:szCs w:val="22"/>
                <w:color w:val="auto"/>
              </w:rPr>
              <w:t>1,365</w:t>
            </w:r>
          </w:p>
        </w:tc>
        <w:tc>
          <w:tcPr>
            <w:tcW w:w="20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line="243" w:lineRule="exact"/>
              <w:rPr>
                <w:sz w:val="20"/>
                <w:szCs w:val="20"/>
                <w:color w:val="auto"/>
              </w:rPr>
            </w:pPr>
            <w:r>
              <w:rPr>
                <w:rFonts w:ascii="Arial" w:cs="Arial" w:eastAsia="Arial" w:hAnsi="Arial"/>
                <w:sz w:val="22"/>
                <w:szCs w:val="22"/>
                <w:color w:val="auto"/>
              </w:rPr>
              <w:t>3,714</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620" w:type="dxa"/>
            <w:vAlign w:val="bottom"/>
          </w:tcPr>
          <w:p>
            <w:pPr>
              <w:spacing w:after="0" w:line="237" w:lineRule="exact"/>
              <w:rPr>
                <w:sz w:val="20"/>
                <w:szCs w:val="20"/>
                <w:color w:val="auto"/>
              </w:rPr>
            </w:pPr>
            <w:r>
              <w:rPr>
                <w:rFonts w:ascii="Arial" w:cs="Arial" w:eastAsia="Arial" w:hAnsi="Arial"/>
                <w:sz w:val="22"/>
                <w:szCs w:val="22"/>
                <w:color w:val="auto"/>
              </w:rPr>
              <w:t>Income before income taxes</w:t>
            </w:r>
          </w:p>
        </w:tc>
        <w:tc>
          <w:tcPr>
            <w:tcW w:w="360" w:type="dxa"/>
            <w:vAlign w:val="bottom"/>
          </w:tcPr>
          <w:p>
            <w:pPr>
              <w:spacing w:after="0"/>
              <w:rPr>
                <w:sz w:val="20"/>
                <w:szCs w:val="20"/>
                <w:color w:val="auto"/>
              </w:rPr>
            </w:pPr>
          </w:p>
        </w:tc>
        <w:tc>
          <w:tcPr>
            <w:tcW w:w="1080" w:type="dxa"/>
            <w:vAlign w:val="bottom"/>
          </w:tcPr>
          <w:p>
            <w:pPr>
              <w:jc w:val="right"/>
              <w:spacing w:after="0" w:line="237" w:lineRule="exact"/>
              <w:rPr>
                <w:sz w:val="20"/>
                <w:szCs w:val="20"/>
                <w:color w:val="auto"/>
              </w:rPr>
            </w:pPr>
            <w:r>
              <w:rPr>
                <w:rFonts w:ascii="Arial" w:cs="Arial" w:eastAsia="Arial" w:hAnsi="Arial"/>
                <w:sz w:val="22"/>
                <w:szCs w:val="22"/>
                <w:color w:val="auto"/>
              </w:rPr>
              <w:t>197,082</w:t>
            </w: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line="237" w:lineRule="exact"/>
              <w:rPr>
                <w:sz w:val="20"/>
                <w:szCs w:val="20"/>
                <w:color w:val="auto"/>
              </w:rPr>
            </w:pPr>
            <w:r>
              <w:rPr>
                <w:rFonts w:ascii="Arial" w:cs="Arial" w:eastAsia="Arial" w:hAnsi="Arial"/>
                <w:sz w:val="22"/>
                <w:szCs w:val="22"/>
                <w:color w:val="auto"/>
              </w:rPr>
              <w:t>198,164</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620" w:type="dxa"/>
            <w:vAlign w:val="bottom"/>
            <w:shd w:val="clear" w:color="auto" w:fill="CCEEFF"/>
          </w:tcPr>
          <w:p>
            <w:pPr>
              <w:spacing w:after="0" w:line="243" w:lineRule="exact"/>
              <w:rPr>
                <w:sz w:val="20"/>
                <w:szCs w:val="20"/>
                <w:color w:val="auto"/>
              </w:rPr>
            </w:pPr>
            <w:r>
              <w:rPr>
                <w:rFonts w:ascii="Arial" w:cs="Arial" w:eastAsia="Arial" w:hAnsi="Arial"/>
                <w:sz w:val="22"/>
                <w:szCs w:val="22"/>
                <w:color w:val="auto"/>
              </w:rPr>
              <w:t>Provision for income taxes</w:t>
            </w:r>
          </w:p>
        </w:tc>
        <w:tc>
          <w:tcPr>
            <w:tcW w:w="36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line="243" w:lineRule="exact"/>
              <w:rPr>
                <w:sz w:val="20"/>
                <w:szCs w:val="20"/>
                <w:color w:val="auto"/>
              </w:rPr>
            </w:pPr>
            <w:r>
              <w:rPr>
                <w:rFonts w:ascii="Arial" w:cs="Arial" w:eastAsia="Arial" w:hAnsi="Arial"/>
                <w:sz w:val="22"/>
                <w:szCs w:val="22"/>
                <w:color w:val="auto"/>
              </w:rPr>
              <w:t>1,437</w:t>
            </w:r>
          </w:p>
        </w:tc>
        <w:tc>
          <w:tcPr>
            <w:tcW w:w="20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line="243" w:lineRule="exact"/>
              <w:rPr>
                <w:sz w:val="20"/>
                <w:szCs w:val="20"/>
                <w:color w:val="auto"/>
              </w:rPr>
            </w:pPr>
            <w:r>
              <w:rPr>
                <w:rFonts w:ascii="Arial" w:cs="Arial" w:eastAsia="Arial" w:hAnsi="Arial"/>
                <w:sz w:val="22"/>
                <w:szCs w:val="22"/>
                <w:color w:val="auto"/>
              </w:rPr>
              <w:t>11,899</w:t>
            </w:r>
          </w:p>
        </w:tc>
        <w:tc>
          <w:tcPr>
            <w:tcW w:w="0" w:type="dxa"/>
            <w:vAlign w:val="bottom"/>
          </w:tcPr>
          <w:p>
            <w:pPr>
              <w:spacing w:after="0"/>
              <w:rPr>
                <w:sz w:val="1"/>
                <w:szCs w:val="1"/>
                <w:color w:val="auto"/>
              </w:rPr>
            </w:pPr>
          </w:p>
        </w:tc>
      </w:tr>
      <w:tr>
        <w:trPr>
          <w:trHeight w:val="244"/>
        </w:trPr>
        <w:tc>
          <w:tcPr>
            <w:tcW w:w="6640" w:type="dxa"/>
            <w:vAlign w:val="bottom"/>
            <w:gridSpan w:val="2"/>
          </w:tcPr>
          <w:p>
            <w:pPr>
              <w:spacing w:after="0" w:line="237" w:lineRule="exact"/>
              <w:rPr>
                <w:sz w:val="20"/>
                <w:szCs w:val="20"/>
                <w:color w:val="auto"/>
              </w:rPr>
            </w:pPr>
            <w:r>
              <w:rPr>
                <w:rFonts w:ascii="Arial" w:cs="Arial" w:eastAsia="Arial" w:hAnsi="Arial"/>
                <w:sz w:val="22"/>
                <w:szCs w:val="22"/>
                <w:color w:val="auto"/>
              </w:rPr>
              <w:t>Net income</w:t>
            </w:r>
          </w:p>
        </w:tc>
        <w:tc>
          <w:tcPr>
            <w:tcW w:w="360" w:type="dxa"/>
            <w:vAlign w:val="bottom"/>
          </w:tcPr>
          <w:p>
            <w:pPr>
              <w:jc w:val="right"/>
              <w:ind w:right="52"/>
              <w:spacing w:after="0" w:line="237" w:lineRule="exact"/>
              <w:rPr>
                <w:sz w:val="20"/>
                <w:szCs w:val="20"/>
                <w:color w:val="auto"/>
              </w:rPr>
            </w:pPr>
            <w:r>
              <w:rPr>
                <w:rFonts w:ascii="Arial" w:cs="Arial" w:eastAsia="Arial" w:hAnsi="Arial"/>
                <w:sz w:val="22"/>
                <w:szCs w:val="22"/>
                <w:color w:val="auto"/>
              </w:rPr>
              <w:t>$</w:t>
            </w:r>
          </w:p>
        </w:tc>
        <w:tc>
          <w:tcPr>
            <w:tcW w:w="1080" w:type="dxa"/>
            <w:vAlign w:val="bottom"/>
          </w:tcPr>
          <w:p>
            <w:pPr>
              <w:jc w:val="right"/>
              <w:spacing w:after="0" w:line="237" w:lineRule="exact"/>
              <w:rPr>
                <w:sz w:val="20"/>
                <w:szCs w:val="20"/>
                <w:color w:val="auto"/>
              </w:rPr>
            </w:pPr>
            <w:r>
              <w:rPr>
                <w:rFonts w:ascii="Arial" w:cs="Arial" w:eastAsia="Arial" w:hAnsi="Arial"/>
                <w:sz w:val="22"/>
                <w:szCs w:val="22"/>
                <w:color w:val="auto"/>
              </w:rPr>
              <w:t>195,645</w:t>
            </w:r>
          </w:p>
        </w:tc>
        <w:tc>
          <w:tcPr>
            <w:tcW w:w="200" w:type="dxa"/>
            <w:vAlign w:val="bottom"/>
          </w:tcPr>
          <w:p>
            <w:pPr>
              <w:spacing w:after="0"/>
              <w:rPr>
                <w:sz w:val="21"/>
                <w:szCs w:val="21"/>
                <w:color w:val="auto"/>
              </w:rPr>
            </w:pPr>
          </w:p>
        </w:tc>
        <w:tc>
          <w:tcPr>
            <w:tcW w:w="320" w:type="dxa"/>
            <w:vAlign w:val="bottom"/>
          </w:tcPr>
          <w:p>
            <w:pPr>
              <w:jc w:val="right"/>
              <w:ind w:right="12"/>
              <w:spacing w:after="0" w:line="237" w:lineRule="exact"/>
              <w:rPr>
                <w:sz w:val="20"/>
                <w:szCs w:val="20"/>
                <w:color w:val="auto"/>
              </w:rPr>
            </w:pPr>
            <w:r>
              <w:rPr>
                <w:rFonts w:ascii="Arial" w:cs="Arial" w:eastAsia="Arial" w:hAnsi="Arial"/>
                <w:sz w:val="22"/>
                <w:szCs w:val="22"/>
                <w:color w:val="auto"/>
              </w:rPr>
              <w:t>$</w:t>
            </w:r>
          </w:p>
        </w:tc>
        <w:tc>
          <w:tcPr>
            <w:tcW w:w="1040" w:type="dxa"/>
            <w:vAlign w:val="bottom"/>
          </w:tcPr>
          <w:p>
            <w:pPr>
              <w:jc w:val="right"/>
              <w:spacing w:after="0" w:line="237" w:lineRule="exact"/>
              <w:rPr>
                <w:sz w:val="20"/>
                <w:szCs w:val="20"/>
                <w:color w:val="auto"/>
              </w:rPr>
            </w:pPr>
            <w:r>
              <w:rPr>
                <w:rFonts w:ascii="Arial" w:cs="Arial" w:eastAsia="Arial" w:hAnsi="Arial"/>
                <w:sz w:val="22"/>
                <w:szCs w:val="22"/>
                <w:color w:val="auto"/>
              </w:rPr>
              <w:t>186,265</w:t>
            </w: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6620" w:type="dxa"/>
            <w:vAlign w:val="bottom"/>
            <w:tcBorders>
              <w:top w:val="single" w:sz="8" w:color="CCEEFF"/>
            </w:tcBorders>
            <w:shd w:val="clear" w:color="auto" w:fill="CCEEFF"/>
          </w:tcPr>
          <w:p>
            <w:pPr>
              <w:spacing w:after="0"/>
              <w:rPr>
                <w:sz w:val="21"/>
                <w:szCs w:val="21"/>
                <w:color w:val="auto"/>
              </w:rPr>
            </w:pPr>
          </w:p>
        </w:tc>
        <w:tc>
          <w:tcPr>
            <w:tcW w:w="360" w:type="dxa"/>
            <w:vAlign w:val="bottom"/>
            <w:tcBorders>
              <w:top w:val="single" w:sz="8" w:color="auto"/>
            </w:tcBorders>
            <w:shd w:val="clear" w:color="auto" w:fill="CCEEFF"/>
          </w:tcPr>
          <w:p>
            <w:pPr>
              <w:spacing w:after="0"/>
              <w:rPr>
                <w:sz w:val="21"/>
                <w:szCs w:val="21"/>
                <w:color w:val="auto"/>
              </w:rPr>
            </w:pPr>
          </w:p>
        </w:tc>
        <w:tc>
          <w:tcPr>
            <w:tcW w:w="1080" w:type="dxa"/>
            <w:vAlign w:val="bottom"/>
            <w:tcBorders>
              <w:top w:val="single" w:sz="8" w:color="auto"/>
            </w:tcBorders>
            <w:shd w:val="clear" w:color="auto" w:fill="CCEEFF"/>
          </w:tcPr>
          <w:p>
            <w:pPr>
              <w:spacing w:after="0"/>
              <w:rPr>
                <w:sz w:val="21"/>
                <w:szCs w:val="21"/>
                <w:color w:val="auto"/>
              </w:rPr>
            </w:pPr>
          </w:p>
        </w:tc>
        <w:tc>
          <w:tcPr>
            <w:tcW w:w="200" w:type="dxa"/>
            <w:vAlign w:val="bottom"/>
            <w:tcBorders>
              <w:top w:val="single" w:sz="8" w:color="CCEEFF"/>
            </w:tcBorders>
            <w:shd w:val="clear" w:color="auto" w:fill="CCEEFF"/>
          </w:tcPr>
          <w:p>
            <w:pPr>
              <w:spacing w:after="0"/>
              <w:rPr>
                <w:sz w:val="21"/>
                <w:szCs w:val="21"/>
                <w:color w:val="auto"/>
              </w:rPr>
            </w:pPr>
          </w:p>
        </w:tc>
        <w:tc>
          <w:tcPr>
            <w:tcW w:w="320" w:type="dxa"/>
            <w:vAlign w:val="bottom"/>
            <w:tcBorders>
              <w:top w:val="single" w:sz="8" w:color="auto"/>
            </w:tcBorders>
            <w:shd w:val="clear" w:color="auto" w:fill="CCEEFF"/>
          </w:tcPr>
          <w:p>
            <w:pPr>
              <w:spacing w:after="0"/>
              <w:rPr>
                <w:sz w:val="21"/>
                <w:szCs w:val="21"/>
                <w:color w:val="auto"/>
              </w:rPr>
            </w:pPr>
          </w:p>
        </w:tc>
        <w:tc>
          <w:tcPr>
            <w:tcW w:w="1040" w:type="dxa"/>
            <w:vAlign w:val="bottom"/>
            <w:tcBorders>
              <w:top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6620" w:type="dxa"/>
            <w:vAlign w:val="bottom"/>
          </w:tcPr>
          <w:p>
            <w:pPr>
              <w:spacing w:after="0" w:line="243" w:lineRule="exact"/>
              <w:rPr>
                <w:sz w:val="20"/>
                <w:szCs w:val="20"/>
                <w:color w:val="auto"/>
              </w:rPr>
            </w:pPr>
            <w:r>
              <w:rPr>
                <w:rFonts w:ascii="Arial" w:cs="Arial" w:eastAsia="Arial" w:hAnsi="Arial"/>
                <w:sz w:val="22"/>
                <w:szCs w:val="22"/>
                <w:color w:val="auto"/>
              </w:rPr>
              <w:t>Net income per common share:</w:t>
            </w:r>
          </w:p>
        </w:tc>
        <w:tc>
          <w:tcPr>
            <w:tcW w:w="3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6620" w:type="dxa"/>
            <w:vAlign w:val="bottom"/>
            <w:tcBorders>
              <w:bottom w:val="single" w:sz="8" w:color="CCEEFF"/>
            </w:tcBorders>
            <w:shd w:val="clear" w:color="auto" w:fill="CCEEFF"/>
          </w:tcPr>
          <w:p>
            <w:pPr>
              <w:ind w:left="100"/>
              <w:spacing w:after="0" w:line="243" w:lineRule="exact"/>
              <w:rPr>
                <w:sz w:val="20"/>
                <w:szCs w:val="20"/>
                <w:color w:val="auto"/>
              </w:rPr>
            </w:pPr>
            <w:r>
              <w:rPr>
                <w:rFonts w:ascii="Arial" w:cs="Arial" w:eastAsia="Arial" w:hAnsi="Arial"/>
                <w:sz w:val="22"/>
                <w:szCs w:val="22"/>
                <w:color w:val="auto"/>
              </w:rPr>
              <w:t>Basic</w:t>
            </w:r>
          </w:p>
        </w:tc>
        <w:tc>
          <w:tcPr>
            <w:tcW w:w="360" w:type="dxa"/>
            <w:vAlign w:val="bottom"/>
            <w:tcBorders>
              <w:bottom w:val="single" w:sz="8" w:color="auto"/>
            </w:tcBorders>
            <w:shd w:val="clear" w:color="auto" w:fill="CCEEFF"/>
          </w:tcPr>
          <w:p>
            <w:pPr>
              <w:jc w:val="right"/>
              <w:ind w:right="52"/>
              <w:spacing w:after="0" w:line="243" w:lineRule="exact"/>
              <w:rPr>
                <w:sz w:val="20"/>
                <w:szCs w:val="20"/>
                <w:color w:val="auto"/>
              </w:rPr>
            </w:pPr>
            <w:r>
              <w:rPr>
                <w:rFonts w:ascii="Arial" w:cs="Arial" w:eastAsia="Arial" w:hAnsi="Arial"/>
                <w:sz w:val="22"/>
                <w:szCs w:val="22"/>
                <w:color w:val="auto"/>
              </w:rPr>
              <w:t>$</w:t>
            </w:r>
          </w:p>
        </w:tc>
        <w:tc>
          <w:tcPr>
            <w:tcW w:w="1080" w:type="dxa"/>
            <w:vAlign w:val="bottom"/>
            <w:tcBorders>
              <w:bottom w:val="single" w:sz="8" w:color="auto"/>
            </w:tcBorders>
            <w:shd w:val="clear" w:color="auto" w:fill="CCEEFF"/>
          </w:tcPr>
          <w:p>
            <w:pPr>
              <w:jc w:val="right"/>
              <w:spacing w:after="0" w:line="243" w:lineRule="exact"/>
              <w:rPr>
                <w:sz w:val="20"/>
                <w:szCs w:val="20"/>
                <w:color w:val="auto"/>
              </w:rPr>
            </w:pPr>
            <w:r>
              <w:rPr>
                <w:rFonts w:ascii="Arial" w:cs="Arial" w:eastAsia="Arial" w:hAnsi="Arial"/>
                <w:sz w:val="22"/>
                <w:szCs w:val="22"/>
                <w:color w:val="auto"/>
              </w:rPr>
              <w:t>1.10</w:t>
            </w:r>
          </w:p>
        </w:tc>
        <w:tc>
          <w:tcPr>
            <w:tcW w:w="2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2"/>
              <w:spacing w:after="0" w:line="243" w:lineRule="exact"/>
              <w:rPr>
                <w:sz w:val="20"/>
                <w:szCs w:val="20"/>
                <w:color w:val="auto"/>
              </w:rPr>
            </w:pPr>
            <w:r>
              <w:rPr>
                <w:rFonts w:ascii="Arial" w:cs="Arial" w:eastAsia="Arial" w:hAnsi="Arial"/>
                <w:sz w:val="22"/>
                <w:szCs w:val="22"/>
                <w:color w:val="auto"/>
              </w:rPr>
              <w:t>$</w:t>
            </w:r>
          </w:p>
        </w:tc>
        <w:tc>
          <w:tcPr>
            <w:tcW w:w="1040" w:type="dxa"/>
            <w:vAlign w:val="bottom"/>
            <w:tcBorders>
              <w:bottom w:val="single" w:sz="8" w:color="auto"/>
            </w:tcBorders>
            <w:shd w:val="clear" w:color="auto" w:fill="CCEEFF"/>
          </w:tcPr>
          <w:p>
            <w:pPr>
              <w:jc w:val="right"/>
              <w:spacing w:after="0" w:line="243" w:lineRule="exact"/>
              <w:rPr>
                <w:sz w:val="20"/>
                <w:szCs w:val="20"/>
                <w:color w:val="auto"/>
              </w:rPr>
            </w:pPr>
            <w:r>
              <w:rPr>
                <w:rFonts w:ascii="Arial" w:cs="Arial" w:eastAsia="Arial" w:hAnsi="Arial"/>
                <w:sz w:val="22"/>
                <w:szCs w:val="22"/>
                <w:color w:val="auto"/>
              </w:rPr>
              <w:t>1.05</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620" w:type="dxa"/>
            <w:vAlign w:val="bottom"/>
            <w:tcBorders>
              <w:bottom w:val="single" w:sz="8" w:color="CCEEFF"/>
            </w:tcBorders>
          </w:tcPr>
          <w:p>
            <w:pPr>
              <w:ind w:left="100"/>
              <w:spacing w:after="0" w:line="230" w:lineRule="exact"/>
              <w:rPr>
                <w:sz w:val="20"/>
                <w:szCs w:val="20"/>
                <w:color w:val="auto"/>
              </w:rPr>
            </w:pPr>
            <w:r>
              <w:rPr>
                <w:rFonts w:ascii="Arial" w:cs="Arial" w:eastAsia="Arial" w:hAnsi="Arial"/>
                <w:sz w:val="22"/>
                <w:szCs w:val="22"/>
                <w:color w:val="auto"/>
              </w:rPr>
              <w:t>Diluted</w:t>
            </w:r>
          </w:p>
        </w:tc>
        <w:tc>
          <w:tcPr>
            <w:tcW w:w="360" w:type="dxa"/>
            <w:vAlign w:val="bottom"/>
            <w:tcBorders>
              <w:bottom w:val="single" w:sz="8" w:color="auto"/>
            </w:tcBorders>
          </w:tcPr>
          <w:p>
            <w:pPr>
              <w:jc w:val="right"/>
              <w:ind w:right="52"/>
              <w:spacing w:after="0" w:line="230" w:lineRule="exact"/>
              <w:rPr>
                <w:sz w:val="20"/>
                <w:szCs w:val="20"/>
                <w:color w:val="auto"/>
              </w:rPr>
            </w:pPr>
            <w:r>
              <w:rPr>
                <w:rFonts w:ascii="Arial" w:cs="Arial" w:eastAsia="Arial" w:hAnsi="Arial"/>
                <w:sz w:val="22"/>
                <w:szCs w:val="22"/>
                <w:color w:val="auto"/>
              </w:rPr>
              <w:t>$</w:t>
            </w:r>
          </w:p>
        </w:tc>
        <w:tc>
          <w:tcPr>
            <w:tcW w:w="1080" w:type="dxa"/>
            <w:vAlign w:val="bottom"/>
            <w:tcBorders>
              <w:bottom w:val="single" w:sz="8" w:color="auto"/>
            </w:tcBorders>
          </w:tcPr>
          <w:p>
            <w:pPr>
              <w:jc w:val="right"/>
              <w:spacing w:after="0" w:line="230" w:lineRule="exact"/>
              <w:rPr>
                <w:sz w:val="20"/>
                <w:szCs w:val="20"/>
                <w:color w:val="auto"/>
              </w:rPr>
            </w:pPr>
            <w:r>
              <w:rPr>
                <w:rFonts w:ascii="Arial" w:cs="Arial" w:eastAsia="Arial" w:hAnsi="Arial"/>
                <w:sz w:val="22"/>
                <w:szCs w:val="22"/>
                <w:color w:val="auto"/>
              </w:rPr>
              <w:t>1.10</w:t>
            </w:r>
          </w:p>
        </w:tc>
        <w:tc>
          <w:tcPr>
            <w:tcW w:w="20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jc w:val="right"/>
              <w:ind w:right="12"/>
              <w:spacing w:after="0" w:line="230" w:lineRule="exact"/>
              <w:rPr>
                <w:sz w:val="20"/>
                <w:szCs w:val="20"/>
                <w:color w:val="auto"/>
              </w:rPr>
            </w:pPr>
            <w:r>
              <w:rPr>
                <w:rFonts w:ascii="Arial" w:cs="Arial" w:eastAsia="Arial" w:hAnsi="Arial"/>
                <w:sz w:val="22"/>
                <w:szCs w:val="22"/>
                <w:color w:val="auto"/>
              </w:rPr>
              <w:t>$</w:t>
            </w:r>
          </w:p>
        </w:tc>
        <w:tc>
          <w:tcPr>
            <w:tcW w:w="1040" w:type="dxa"/>
            <w:vAlign w:val="bottom"/>
            <w:tcBorders>
              <w:bottom w:val="single" w:sz="8" w:color="auto"/>
            </w:tcBorders>
          </w:tcPr>
          <w:p>
            <w:pPr>
              <w:jc w:val="right"/>
              <w:spacing w:after="0" w:line="230" w:lineRule="exact"/>
              <w:rPr>
                <w:sz w:val="20"/>
                <w:szCs w:val="20"/>
                <w:color w:val="auto"/>
              </w:rPr>
            </w:pPr>
            <w:r>
              <w:rPr>
                <w:rFonts w:ascii="Arial" w:cs="Arial" w:eastAsia="Arial" w:hAnsi="Arial"/>
                <w:sz w:val="22"/>
                <w:szCs w:val="22"/>
                <w:color w:val="auto"/>
              </w:rPr>
              <w:t>1.05</w:t>
            </w: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662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6620" w:type="dxa"/>
            <w:vAlign w:val="bottom"/>
          </w:tcPr>
          <w:p>
            <w:pPr>
              <w:spacing w:after="0" w:line="243" w:lineRule="exact"/>
              <w:rPr>
                <w:sz w:val="20"/>
                <w:szCs w:val="20"/>
                <w:color w:val="auto"/>
              </w:rPr>
            </w:pPr>
            <w:r>
              <w:rPr>
                <w:rFonts w:ascii="Arial" w:cs="Arial" w:eastAsia="Arial" w:hAnsi="Arial"/>
                <w:sz w:val="22"/>
                <w:szCs w:val="22"/>
                <w:color w:val="auto"/>
              </w:rPr>
              <w:t>Average common shares outstanding during the period:</w:t>
            </w:r>
          </w:p>
        </w:tc>
        <w:tc>
          <w:tcPr>
            <w:tcW w:w="3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6620" w:type="dxa"/>
            <w:vAlign w:val="bottom"/>
            <w:tcBorders>
              <w:bottom w:val="single" w:sz="8" w:color="CCEEFF"/>
            </w:tcBorders>
            <w:shd w:val="clear" w:color="auto" w:fill="CCEEFF"/>
          </w:tcPr>
          <w:p>
            <w:pPr>
              <w:ind w:left="100"/>
              <w:spacing w:after="0" w:line="243" w:lineRule="exact"/>
              <w:rPr>
                <w:sz w:val="20"/>
                <w:szCs w:val="20"/>
                <w:color w:val="auto"/>
              </w:rPr>
            </w:pPr>
            <w:r>
              <w:rPr>
                <w:rFonts w:ascii="Arial" w:cs="Arial" w:eastAsia="Arial" w:hAnsi="Arial"/>
                <w:sz w:val="22"/>
                <w:szCs w:val="22"/>
                <w:color w:val="auto"/>
              </w:rPr>
              <w:t>Basic</w:t>
            </w:r>
          </w:p>
        </w:tc>
        <w:tc>
          <w:tcPr>
            <w:tcW w:w="360" w:type="dxa"/>
            <w:vAlign w:val="bottom"/>
            <w:tcBorders>
              <w:bottom w:val="single" w:sz="8" w:color="auto"/>
            </w:tcBorders>
            <w:shd w:val="clear" w:color="auto" w:fill="CCEEFF"/>
          </w:tcPr>
          <w:p>
            <w:pPr>
              <w:spacing w:after="0"/>
              <w:rPr>
                <w:sz w:val="22"/>
                <w:szCs w:val="22"/>
                <w:color w:val="auto"/>
              </w:rPr>
            </w:pPr>
          </w:p>
        </w:tc>
        <w:tc>
          <w:tcPr>
            <w:tcW w:w="1080" w:type="dxa"/>
            <w:vAlign w:val="bottom"/>
            <w:tcBorders>
              <w:bottom w:val="single" w:sz="8" w:color="auto"/>
            </w:tcBorders>
            <w:shd w:val="clear" w:color="auto" w:fill="CCEEFF"/>
          </w:tcPr>
          <w:p>
            <w:pPr>
              <w:jc w:val="right"/>
              <w:spacing w:after="0" w:line="243" w:lineRule="exact"/>
              <w:rPr>
                <w:sz w:val="20"/>
                <w:szCs w:val="20"/>
                <w:color w:val="auto"/>
              </w:rPr>
            </w:pPr>
            <w:r>
              <w:rPr>
                <w:rFonts w:ascii="Arial" w:cs="Arial" w:eastAsia="Arial" w:hAnsi="Arial"/>
                <w:sz w:val="22"/>
                <w:szCs w:val="22"/>
                <w:color w:val="auto"/>
              </w:rPr>
              <w:t>177,876</w:t>
            </w:r>
          </w:p>
        </w:tc>
        <w:tc>
          <w:tcPr>
            <w:tcW w:w="2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spacing w:after="0" w:line="243" w:lineRule="exact"/>
              <w:rPr>
                <w:sz w:val="20"/>
                <w:szCs w:val="20"/>
                <w:color w:val="auto"/>
              </w:rPr>
            </w:pPr>
            <w:r>
              <w:rPr>
                <w:rFonts w:ascii="Arial" w:cs="Arial" w:eastAsia="Arial" w:hAnsi="Arial"/>
                <w:sz w:val="22"/>
                <w:szCs w:val="22"/>
                <w:color w:val="auto"/>
              </w:rPr>
              <w:t>177,583</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620" w:type="dxa"/>
            <w:vAlign w:val="bottom"/>
            <w:tcBorders>
              <w:bottom w:val="single" w:sz="8" w:color="CCEEFF"/>
            </w:tcBorders>
          </w:tcPr>
          <w:p>
            <w:pPr>
              <w:ind w:left="100"/>
              <w:spacing w:after="0" w:line="230" w:lineRule="exact"/>
              <w:rPr>
                <w:sz w:val="20"/>
                <w:szCs w:val="20"/>
                <w:color w:val="auto"/>
              </w:rPr>
            </w:pPr>
            <w:r>
              <w:rPr>
                <w:rFonts w:ascii="Arial" w:cs="Arial" w:eastAsia="Arial" w:hAnsi="Arial"/>
                <w:sz w:val="22"/>
                <w:szCs w:val="22"/>
                <w:color w:val="auto"/>
              </w:rPr>
              <w:t>Diluted</w:t>
            </w:r>
          </w:p>
        </w:tc>
        <w:tc>
          <w:tcPr>
            <w:tcW w:w="3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line="230" w:lineRule="exact"/>
              <w:rPr>
                <w:sz w:val="20"/>
                <w:szCs w:val="20"/>
                <w:color w:val="auto"/>
              </w:rPr>
            </w:pPr>
            <w:r>
              <w:rPr>
                <w:rFonts w:ascii="Arial" w:cs="Arial" w:eastAsia="Arial" w:hAnsi="Arial"/>
                <w:sz w:val="22"/>
                <w:szCs w:val="22"/>
                <w:color w:val="auto"/>
              </w:rPr>
              <w:t>178,347</w:t>
            </w:r>
          </w:p>
        </w:tc>
        <w:tc>
          <w:tcPr>
            <w:tcW w:w="20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line="230" w:lineRule="exact"/>
              <w:rPr>
                <w:sz w:val="20"/>
                <w:szCs w:val="20"/>
                <w:color w:val="auto"/>
              </w:rPr>
            </w:pPr>
            <w:r>
              <w:rPr>
                <w:rFonts w:ascii="Arial" w:cs="Arial" w:eastAsia="Arial" w:hAnsi="Arial"/>
                <w:sz w:val="22"/>
                <w:szCs w:val="22"/>
                <w:color w:val="auto"/>
              </w:rPr>
              <w:t>178,103</w:t>
            </w: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662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20" w:type="dxa"/>
            <w:vAlign w:val="bottom"/>
            <w:vMerge w:val="continue"/>
          </w:tcPr>
          <w:p>
            <w:pPr>
              <w:spacing w:after="0"/>
              <w:rPr>
                <w:sz w:val="21"/>
                <w:szCs w:val="21"/>
                <w:color w:val="auto"/>
              </w:rPr>
            </w:pPr>
          </w:p>
        </w:tc>
        <w:tc>
          <w:tcPr>
            <w:tcW w:w="6620" w:type="dxa"/>
            <w:vAlign w:val="bottom"/>
          </w:tcPr>
          <w:p>
            <w:pPr>
              <w:spacing w:after="0" w:line="243" w:lineRule="exact"/>
              <w:rPr>
                <w:sz w:val="20"/>
                <w:szCs w:val="20"/>
                <w:color w:val="auto"/>
              </w:rPr>
            </w:pPr>
            <w:r>
              <w:rPr>
                <w:rFonts w:ascii="Arial" w:cs="Arial" w:eastAsia="Arial" w:hAnsi="Arial"/>
                <w:sz w:val="22"/>
                <w:szCs w:val="22"/>
                <w:color w:val="auto"/>
              </w:rPr>
              <w:t>Cash dividends declared per common share</w:t>
            </w:r>
          </w:p>
        </w:tc>
        <w:tc>
          <w:tcPr>
            <w:tcW w:w="360" w:type="dxa"/>
            <w:vAlign w:val="bottom"/>
            <w:tcBorders>
              <w:bottom w:val="single" w:sz="8" w:color="auto"/>
            </w:tcBorders>
          </w:tcPr>
          <w:p>
            <w:pPr>
              <w:jc w:val="right"/>
              <w:ind w:right="52"/>
              <w:spacing w:after="0" w:line="243" w:lineRule="exact"/>
              <w:rPr>
                <w:sz w:val="20"/>
                <w:szCs w:val="20"/>
                <w:color w:val="auto"/>
              </w:rPr>
            </w:pPr>
            <w:r>
              <w:rPr>
                <w:rFonts w:ascii="Arial" w:cs="Arial" w:eastAsia="Arial" w:hAnsi="Arial"/>
                <w:sz w:val="22"/>
                <w:szCs w:val="22"/>
                <w:color w:val="auto"/>
              </w:rPr>
              <w:t>$</w:t>
            </w:r>
          </w:p>
        </w:tc>
        <w:tc>
          <w:tcPr>
            <w:tcW w:w="1080" w:type="dxa"/>
            <w:vAlign w:val="bottom"/>
            <w:tcBorders>
              <w:bottom w:val="single" w:sz="8" w:color="auto"/>
            </w:tcBorders>
          </w:tcPr>
          <w:p>
            <w:pPr>
              <w:jc w:val="right"/>
              <w:spacing w:after="0" w:line="243" w:lineRule="exact"/>
              <w:rPr>
                <w:sz w:val="20"/>
                <w:szCs w:val="20"/>
                <w:color w:val="auto"/>
              </w:rPr>
            </w:pPr>
            <w:r>
              <w:rPr>
                <w:rFonts w:ascii="Arial" w:cs="Arial" w:eastAsia="Arial" w:hAnsi="Arial"/>
                <w:sz w:val="22"/>
                <w:szCs w:val="22"/>
                <w:color w:val="auto"/>
              </w:rPr>
              <w:t>0.6284</w:t>
            </w:r>
          </w:p>
        </w:tc>
        <w:tc>
          <w:tcPr>
            <w:tcW w:w="200" w:type="dxa"/>
            <w:vAlign w:val="bottom"/>
          </w:tcPr>
          <w:p>
            <w:pPr>
              <w:spacing w:after="0"/>
              <w:rPr>
                <w:sz w:val="21"/>
                <w:szCs w:val="21"/>
                <w:color w:val="auto"/>
              </w:rPr>
            </w:pPr>
          </w:p>
        </w:tc>
        <w:tc>
          <w:tcPr>
            <w:tcW w:w="320" w:type="dxa"/>
            <w:vAlign w:val="bottom"/>
            <w:tcBorders>
              <w:bottom w:val="single" w:sz="8" w:color="auto"/>
            </w:tcBorders>
          </w:tcPr>
          <w:p>
            <w:pPr>
              <w:jc w:val="right"/>
              <w:ind w:right="12"/>
              <w:spacing w:after="0" w:line="243" w:lineRule="exact"/>
              <w:rPr>
                <w:sz w:val="20"/>
                <w:szCs w:val="20"/>
                <w:color w:val="auto"/>
              </w:rPr>
            </w:pPr>
            <w:r>
              <w:rPr>
                <w:rFonts w:ascii="Arial" w:cs="Arial" w:eastAsia="Arial" w:hAnsi="Arial"/>
                <w:sz w:val="22"/>
                <w:szCs w:val="22"/>
                <w:color w:val="auto"/>
              </w:rPr>
              <w:t>$</w:t>
            </w:r>
          </w:p>
        </w:tc>
        <w:tc>
          <w:tcPr>
            <w:tcW w:w="1040" w:type="dxa"/>
            <w:vAlign w:val="bottom"/>
            <w:tcBorders>
              <w:bottom w:val="single" w:sz="8" w:color="auto"/>
            </w:tcBorders>
          </w:tcPr>
          <w:p>
            <w:pPr>
              <w:jc w:val="right"/>
              <w:spacing w:after="0" w:line="243" w:lineRule="exact"/>
              <w:rPr>
                <w:sz w:val="20"/>
                <w:szCs w:val="20"/>
                <w:color w:val="auto"/>
              </w:rPr>
            </w:pPr>
            <w:r>
              <w:rPr>
                <w:rFonts w:ascii="Arial" w:cs="Arial" w:eastAsia="Arial" w:hAnsi="Arial"/>
                <w:sz w:val="22"/>
                <w:szCs w:val="22"/>
                <w:color w:val="auto"/>
              </w:rPr>
              <w:t>0.5873</w:t>
            </w:r>
          </w:p>
        </w:tc>
        <w:tc>
          <w:tcPr>
            <w:tcW w:w="0" w:type="dxa"/>
            <w:vAlign w:val="bottom"/>
          </w:tcPr>
          <w:p>
            <w:pPr>
              <w:spacing w:after="0"/>
              <w:rPr>
                <w:sz w:val="1"/>
                <w:szCs w:val="1"/>
                <w:color w:val="auto"/>
              </w:rPr>
            </w:pPr>
          </w:p>
        </w:tc>
      </w:tr>
    </w:tbl>
    <w:p>
      <w:pPr>
        <w:spacing w:after="0" w:line="222" w:lineRule="exact"/>
        <w:rPr>
          <w:sz w:val="20"/>
          <w:szCs w:val="20"/>
          <w:color w:val="auto"/>
        </w:rPr>
      </w:pPr>
    </w:p>
    <w:p>
      <w:pPr>
        <w:spacing w:after="0"/>
        <w:rPr>
          <w:sz w:val="20"/>
          <w:szCs w:val="20"/>
          <w:color w:val="auto"/>
        </w:rPr>
      </w:pPr>
      <w:r>
        <w:rPr>
          <w:rFonts w:ascii="Arial" w:cs="Arial" w:eastAsia="Arial" w:hAnsi="Arial"/>
          <w:sz w:val="22"/>
          <w:szCs w:val="22"/>
          <w:color w:val="auto"/>
        </w:rPr>
        <w:t>See notes to consolidated financial statements beginning on page 9 of this report.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-89535</wp:posOffset>
            </wp:positionH>
            <wp:positionV relativeFrom="paragraph">
              <wp:posOffset>63500</wp:posOffset>
            </wp:positionV>
            <wp:extent cx="6311265" cy="514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311265" cy="51435"/>
                    </a:xfrm>
                    <a:prstGeom prst="rect">
                      <a:avLst/>
                    </a:prstGeom>
                    <a:noFill/>
                  </pic:spPr>
                </pic:pic>
              </a:graphicData>
            </a:graphic>
          </wp:anchor>
        </w:drawing>
      </w:r>
    </w:p>
    <w:p>
      <w:pPr>
        <w:sectPr>
          <w:pgSz w:w="11900" w:h="16838" w:orient="portrait"/>
          <w:cols w:equalWidth="0" w:num="1">
            <w:col w:w="9640"/>
          </w:cols>
          <w:pgMar w:left="1140" w:top="118" w:right="1119" w:bottom="1440" w:gutter="0" w:footer="0" w:header="0"/>
        </w:sectPr>
      </w:pPr>
    </w:p>
    <w:bookmarkStart w:id="6" w:name="page7"/>
    <w:bookmarkEnd w:id="6"/>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9" w:lineRule="exact"/>
        <w:rPr>
          <w:sz w:val="20"/>
          <w:szCs w:val="20"/>
          <w:color w:val="auto"/>
        </w:rPr>
      </w:pPr>
    </w:p>
    <w:p>
      <w:pPr>
        <w:ind w:left="2780"/>
        <w:spacing w:after="0"/>
        <w:rPr>
          <w:sz w:val="20"/>
          <w:szCs w:val="20"/>
          <w:color w:val="auto"/>
        </w:rPr>
      </w:pPr>
      <w:r>
        <w:rPr>
          <w:rFonts w:ascii="Arial" w:cs="Arial" w:eastAsia="Arial" w:hAnsi="Arial"/>
          <w:sz w:val="22"/>
          <w:szCs w:val="22"/>
          <w:color w:val="auto"/>
        </w:rPr>
        <w:t>AQUA AMERICA, INC. AND SUBSIDIARIES</w:t>
      </w:r>
    </w:p>
    <w:p>
      <w:pPr>
        <w:spacing w:after="0" w:line="102" w:lineRule="exact"/>
        <w:rPr>
          <w:sz w:val="20"/>
          <w:szCs w:val="20"/>
          <w:color w:val="auto"/>
        </w:rPr>
      </w:pPr>
    </w:p>
    <w:p>
      <w:pPr>
        <w:ind w:left="1820"/>
        <w:spacing w:after="0"/>
        <w:rPr>
          <w:sz w:val="20"/>
          <w:szCs w:val="20"/>
          <w:color w:val="auto"/>
        </w:rPr>
      </w:pPr>
      <w:r>
        <w:rPr>
          <w:rFonts w:ascii="Arial" w:cs="Arial" w:eastAsia="Arial" w:hAnsi="Arial"/>
          <w:sz w:val="22"/>
          <w:szCs w:val="22"/>
          <w:color w:val="auto"/>
        </w:rPr>
        <w:t>CONSOLIDATED STATEMENTS OF COMPREHENSIVE INCOME</w:t>
      </w:r>
    </w:p>
    <w:p>
      <w:pPr>
        <w:ind w:left="3840"/>
        <w:spacing w:after="0" w:line="192" w:lineRule="auto"/>
        <w:rPr>
          <w:sz w:val="20"/>
          <w:szCs w:val="20"/>
          <w:color w:val="auto"/>
        </w:rPr>
      </w:pPr>
      <w:r>
        <w:rPr>
          <w:rFonts w:ascii="Arial" w:cs="Arial" w:eastAsia="Arial" w:hAnsi="Arial"/>
          <w:sz w:val="22"/>
          <w:szCs w:val="22"/>
          <w:color w:val="auto"/>
        </w:rPr>
        <w:t>(In thousands of dollars)</w:t>
      </w:r>
    </w:p>
    <w:p>
      <w:pPr>
        <w:ind w:left="4220"/>
        <w:spacing w:after="0"/>
        <w:rPr>
          <w:sz w:val="20"/>
          <w:szCs w:val="20"/>
          <w:color w:val="auto"/>
        </w:rPr>
      </w:pPr>
      <w:r>
        <w:rPr>
          <w:rFonts w:ascii="Arial" w:cs="Arial" w:eastAsia="Arial" w:hAnsi="Arial"/>
          <w:sz w:val="22"/>
          <w:szCs w:val="22"/>
          <w:color w:val="auto"/>
        </w:rPr>
        <w:t>(UNAUDITED)</w:t>
      </w:r>
    </w:p>
    <w:p>
      <w:pPr>
        <w:spacing w:after="0" w:line="200" w:lineRule="exact"/>
        <w:rPr>
          <w:sz w:val="20"/>
          <w:szCs w:val="20"/>
          <w:color w:val="auto"/>
        </w:rPr>
      </w:pP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5820" w:type="dxa"/>
            <w:vAlign w:val="bottom"/>
          </w:tcPr>
          <w:p>
            <w:pPr>
              <w:spacing w:after="0"/>
              <w:rPr>
                <w:sz w:val="21"/>
                <w:szCs w:val="21"/>
                <w:color w:val="auto"/>
              </w:rPr>
            </w:pPr>
          </w:p>
        </w:tc>
        <w:tc>
          <w:tcPr>
            <w:tcW w:w="2200" w:type="dxa"/>
            <w:vAlign w:val="bottom"/>
            <w:gridSpan w:val="6"/>
          </w:tcPr>
          <w:p>
            <w:pPr>
              <w:jc w:val="center"/>
              <w:ind w:right="220"/>
              <w:spacing w:after="0"/>
              <w:rPr>
                <w:sz w:val="20"/>
                <w:szCs w:val="20"/>
                <w:color w:val="auto"/>
              </w:rPr>
            </w:pPr>
            <w:r>
              <w:rPr>
                <w:rFonts w:ascii="Arial" w:cs="Arial" w:eastAsia="Arial" w:hAnsi="Arial"/>
                <w:sz w:val="22"/>
                <w:szCs w:val="22"/>
                <w:color w:val="auto"/>
                <w:w w:val="88"/>
              </w:rPr>
              <w:t>Three Months Ended</w:t>
            </w:r>
          </w:p>
        </w:tc>
        <w:tc>
          <w:tcPr>
            <w:tcW w:w="1840" w:type="dxa"/>
            <w:vAlign w:val="bottom"/>
            <w:gridSpan w:val="3"/>
          </w:tcPr>
          <w:p>
            <w:pPr>
              <w:jc w:val="right"/>
              <w:spacing w:after="0"/>
              <w:rPr>
                <w:sz w:val="20"/>
                <w:szCs w:val="20"/>
                <w:color w:val="auto"/>
              </w:rPr>
            </w:pPr>
            <w:r>
              <w:rPr>
                <w:rFonts w:ascii="Arial" w:cs="Arial" w:eastAsia="Arial" w:hAnsi="Arial"/>
                <w:sz w:val="22"/>
                <w:szCs w:val="22"/>
                <w:color w:val="auto"/>
                <w:w w:val="92"/>
              </w:rPr>
              <w:t>Nine Months Ended</w:t>
            </w:r>
          </w:p>
        </w:tc>
      </w:tr>
      <w:tr>
        <w:trPr>
          <w:trHeight w:val="265"/>
        </w:trPr>
        <w:tc>
          <w:tcPr>
            <w:tcW w:w="58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020" w:type="dxa"/>
            <w:vAlign w:val="bottom"/>
            <w:gridSpan w:val="5"/>
          </w:tcPr>
          <w:p>
            <w:pPr>
              <w:jc w:val="center"/>
              <w:ind w:right="420"/>
              <w:spacing w:after="0"/>
              <w:rPr>
                <w:sz w:val="20"/>
                <w:szCs w:val="20"/>
                <w:color w:val="auto"/>
              </w:rPr>
            </w:pPr>
            <w:r>
              <w:rPr>
                <w:rFonts w:ascii="Arial" w:cs="Arial" w:eastAsia="Arial" w:hAnsi="Arial"/>
                <w:sz w:val="22"/>
                <w:szCs w:val="22"/>
                <w:color w:val="auto"/>
                <w:w w:val="85"/>
              </w:rPr>
              <w:t>September 30,</w:t>
            </w:r>
          </w:p>
        </w:tc>
        <w:tc>
          <w:tcPr>
            <w:tcW w:w="1840" w:type="dxa"/>
            <w:vAlign w:val="bottom"/>
            <w:gridSpan w:val="3"/>
          </w:tcPr>
          <w:p>
            <w:pPr>
              <w:jc w:val="right"/>
              <w:ind w:right="192"/>
              <w:spacing w:after="0"/>
              <w:rPr>
                <w:sz w:val="20"/>
                <w:szCs w:val="20"/>
                <w:color w:val="auto"/>
              </w:rPr>
            </w:pPr>
            <w:r>
              <w:rPr>
                <w:rFonts w:ascii="Arial" w:cs="Arial" w:eastAsia="Arial" w:hAnsi="Arial"/>
                <w:sz w:val="22"/>
                <w:szCs w:val="22"/>
                <w:color w:val="auto"/>
              </w:rPr>
              <w:t>September 30,</w:t>
            </w:r>
          </w:p>
        </w:tc>
      </w:tr>
      <w:tr>
        <w:trPr>
          <w:trHeight w:val="264"/>
        </w:trPr>
        <w:tc>
          <w:tcPr>
            <w:tcW w:w="5820" w:type="dxa"/>
            <w:vAlign w:val="bottom"/>
            <w:tcBorders>
              <w:bottom w:val="single" w:sz="8" w:color="CCEEFF"/>
            </w:tcBorders>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700" w:type="dxa"/>
            <w:vAlign w:val="bottom"/>
            <w:tcBorders>
              <w:top w:val="single" w:sz="8" w:color="auto"/>
              <w:bottom w:val="single" w:sz="8" w:color="auto"/>
            </w:tcBorders>
          </w:tcPr>
          <w:p>
            <w:pPr>
              <w:jc w:val="right"/>
              <w:ind w:right="112"/>
              <w:spacing w:after="0"/>
              <w:rPr>
                <w:sz w:val="20"/>
                <w:szCs w:val="20"/>
                <w:color w:val="auto"/>
              </w:rPr>
            </w:pPr>
            <w:r>
              <w:rPr>
                <w:rFonts w:ascii="Arial" w:cs="Arial" w:eastAsia="Arial" w:hAnsi="Arial"/>
                <w:sz w:val="22"/>
                <w:szCs w:val="22"/>
                <w:color w:val="auto"/>
                <w:w w:val="93"/>
              </w:rPr>
              <w:t>2018</w:t>
            </w:r>
          </w:p>
        </w:tc>
        <w:tc>
          <w:tcPr>
            <w:tcW w:w="140" w:type="dxa"/>
            <w:vAlign w:val="bottom"/>
            <w:tcBorders>
              <w:top w:val="single" w:sz="8" w:color="auto"/>
              <w:bottom w:val="single" w:sz="8" w:color="CCEEFF"/>
            </w:tcBorders>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740" w:type="dxa"/>
            <w:vAlign w:val="bottom"/>
            <w:tcBorders>
              <w:top w:val="single" w:sz="8" w:color="auto"/>
              <w:bottom w:val="single" w:sz="8" w:color="auto"/>
            </w:tcBorders>
          </w:tcPr>
          <w:p>
            <w:pPr>
              <w:jc w:val="right"/>
              <w:ind w:right="152"/>
              <w:spacing w:after="0"/>
              <w:rPr>
                <w:sz w:val="20"/>
                <w:szCs w:val="20"/>
                <w:color w:val="auto"/>
              </w:rPr>
            </w:pPr>
            <w:r>
              <w:rPr>
                <w:rFonts w:ascii="Arial" w:cs="Arial" w:eastAsia="Arial" w:hAnsi="Arial"/>
                <w:sz w:val="22"/>
                <w:szCs w:val="22"/>
                <w:color w:val="auto"/>
                <w:w w:val="93"/>
              </w:rPr>
              <w:t>2017</w:t>
            </w:r>
          </w:p>
        </w:tc>
        <w:tc>
          <w:tcPr>
            <w:tcW w:w="240" w:type="dxa"/>
            <w:vAlign w:val="bottom"/>
            <w:tcBorders>
              <w:bottom w:val="single" w:sz="8" w:color="CCEEFF"/>
            </w:tcBorders>
          </w:tcPr>
          <w:p>
            <w:pPr>
              <w:spacing w:after="0"/>
              <w:rPr>
                <w:sz w:val="22"/>
                <w:szCs w:val="22"/>
                <w:color w:val="auto"/>
              </w:rPr>
            </w:pPr>
          </w:p>
        </w:tc>
        <w:tc>
          <w:tcPr>
            <w:tcW w:w="860" w:type="dxa"/>
            <w:vAlign w:val="bottom"/>
            <w:tcBorders>
              <w:top w:val="single" w:sz="8" w:color="auto"/>
              <w:bottom w:val="single" w:sz="8" w:color="auto"/>
            </w:tcBorders>
          </w:tcPr>
          <w:p>
            <w:pPr>
              <w:jc w:val="right"/>
              <w:ind w:right="92"/>
              <w:spacing w:after="0"/>
              <w:rPr>
                <w:sz w:val="20"/>
                <w:szCs w:val="20"/>
                <w:color w:val="auto"/>
              </w:rPr>
            </w:pPr>
            <w:r>
              <w:rPr>
                <w:rFonts w:ascii="Arial" w:cs="Arial" w:eastAsia="Arial" w:hAnsi="Arial"/>
                <w:sz w:val="22"/>
                <w:szCs w:val="22"/>
                <w:color w:val="auto"/>
              </w:rPr>
              <w:t>2018</w:t>
            </w:r>
          </w:p>
        </w:tc>
        <w:tc>
          <w:tcPr>
            <w:tcW w:w="120" w:type="dxa"/>
            <w:vAlign w:val="bottom"/>
            <w:tcBorders>
              <w:top w:val="single" w:sz="8" w:color="auto"/>
              <w:bottom w:val="single" w:sz="8" w:color="CCEEFF"/>
            </w:tcBorders>
          </w:tcPr>
          <w:p>
            <w:pPr>
              <w:spacing w:after="0"/>
              <w:rPr>
                <w:sz w:val="22"/>
                <w:szCs w:val="22"/>
                <w:color w:val="auto"/>
              </w:rPr>
            </w:pPr>
          </w:p>
        </w:tc>
        <w:tc>
          <w:tcPr>
            <w:tcW w:w="860" w:type="dxa"/>
            <w:vAlign w:val="bottom"/>
            <w:tcBorders>
              <w:top w:val="single" w:sz="8" w:color="auto"/>
              <w:bottom w:val="single" w:sz="8" w:color="auto"/>
            </w:tcBorders>
          </w:tcPr>
          <w:p>
            <w:pPr>
              <w:jc w:val="right"/>
              <w:ind w:right="112"/>
              <w:spacing w:after="0"/>
              <w:rPr>
                <w:sz w:val="20"/>
                <w:szCs w:val="20"/>
                <w:color w:val="auto"/>
              </w:rPr>
            </w:pPr>
            <w:r>
              <w:rPr>
                <w:rFonts w:ascii="Arial" w:cs="Arial" w:eastAsia="Arial" w:hAnsi="Arial"/>
                <w:sz w:val="22"/>
                <w:szCs w:val="22"/>
                <w:color w:val="auto"/>
              </w:rPr>
              <w:t>2017</w:t>
            </w:r>
          </w:p>
        </w:tc>
      </w:tr>
      <w:tr>
        <w:trPr>
          <w:trHeight w:val="264"/>
        </w:trPr>
        <w:tc>
          <w:tcPr>
            <w:tcW w:w="5820" w:type="dxa"/>
            <w:vAlign w:val="bottom"/>
            <w:shd w:val="clear" w:color="auto" w:fill="CCEEFF"/>
          </w:tcPr>
          <w:p>
            <w:pPr>
              <w:spacing w:after="0"/>
              <w:rPr>
                <w:sz w:val="20"/>
                <w:szCs w:val="20"/>
                <w:color w:val="auto"/>
              </w:rPr>
            </w:pPr>
            <w:r>
              <w:rPr>
                <w:rFonts w:ascii="Arial" w:cs="Arial" w:eastAsia="Arial" w:hAnsi="Arial"/>
                <w:sz w:val="22"/>
                <w:szCs w:val="22"/>
                <w:color w:val="auto"/>
              </w:rPr>
              <w:t>Net income</w:t>
            </w:r>
          </w:p>
        </w:tc>
        <w:tc>
          <w:tcPr>
            <w:tcW w:w="180" w:type="dxa"/>
            <w:vAlign w:val="bottom"/>
            <w:shd w:val="clear" w:color="auto" w:fill="CCEEFF"/>
          </w:tcPr>
          <w:p>
            <w:pPr>
              <w:jc w:val="right"/>
              <w:spacing w:after="0"/>
              <w:rPr>
                <w:sz w:val="20"/>
                <w:szCs w:val="20"/>
                <w:color w:val="auto"/>
              </w:rPr>
            </w:pPr>
            <w:r>
              <w:rPr>
                <w:rFonts w:ascii="Arial" w:cs="Arial" w:eastAsia="Arial" w:hAnsi="Arial"/>
                <w:sz w:val="22"/>
                <w:szCs w:val="22"/>
                <w:color w:val="auto"/>
                <w:w w:val="97"/>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22"/>
                <w:szCs w:val="22"/>
                <w:color w:val="auto"/>
                <w:w w:val="95"/>
              </w:rPr>
              <w:t>78,216</w:t>
            </w:r>
          </w:p>
        </w:tc>
        <w:tc>
          <w:tcPr>
            <w:tcW w:w="14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22"/>
                <w:szCs w:val="22"/>
                <w:color w:val="auto"/>
                <w:w w:val="97"/>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22"/>
                <w:szCs w:val="22"/>
                <w:color w:val="auto"/>
                <w:w w:val="98"/>
              </w:rPr>
              <w:t>76,225</w:t>
            </w:r>
          </w:p>
        </w:tc>
        <w:tc>
          <w:tcPr>
            <w:tcW w:w="240" w:type="dxa"/>
            <w:vAlign w:val="bottom"/>
            <w:shd w:val="clear" w:color="auto" w:fill="CCEEFF"/>
          </w:tcPr>
          <w:p>
            <w:pPr>
              <w:spacing w:after="0"/>
              <w:rPr>
                <w:sz w:val="22"/>
                <w:szCs w:val="22"/>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22"/>
                <w:szCs w:val="22"/>
                <w:color w:val="auto"/>
                <w:w w:val="87"/>
              </w:rPr>
              <w:t>$195,645</w:t>
            </w:r>
          </w:p>
        </w:tc>
        <w:tc>
          <w:tcPr>
            <w:tcW w:w="120" w:type="dxa"/>
            <w:vAlign w:val="bottom"/>
            <w:shd w:val="clear" w:color="auto" w:fill="CCEEFF"/>
          </w:tcPr>
          <w:p>
            <w:pPr>
              <w:spacing w:after="0"/>
              <w:rPr>
                <w:sz w:val="22"/>
                <w:szCs w:val="22"/>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22"/>
                <w:szCs w:val="22"/>
                <w:color w:val="auto"/>
                <w:w w:val="84"/>
              </w:rPr>
              <w:t>$186,265</w:t>
            </w:r>
          </w:p>
        </w:tc>
      </w:tr>
      <w:tr>
        <w:trPr>
          <w:trHeight w:val="284"/>
        </w:trPr>
        <w:tc>
          <w:tcPr>
            <w:tcW w:w="5820" w:type="dxa"/>
            <w:vAlign w:val="bottom"/>
          </w:tcPr>
          <w:p>
            <w:pPr>
              <w:spacing w:after="0"/>
              <w:rPr>
                <w:sz w:val="20"/>
                <w:szCs w:val="20"/>
                <w:color w:val="auto"/>
              </w:rPr>
            </w:pPr>
            <w:r>
              <w:rPr>
                <w:rFonts w:ascii="Arial" w:cs="Arial" w:eastAsia="Arial" w:hAnsi="Arial"/>
                <w:sz w:val="22"/>
                <w:szCs w:val="22"/>
                <w:color w:val="auto"/>
              </w:rPr>
              <w:t>Other comprehensive income, net of tax:</w:t>
            </w: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222"/>
        </w:trPr>
        <w:tc>
          <w:tcPr>
            <w:tcW w:w="5820" w:type="dxa"/>
            <w:vAlign w:val="bottom"/>
            <w:shd w:val="clear" w:color="auto" w:fill="CCEEFF"/>
          </w:tcPr>
          <w:p>
            <w:pPr>
              <w:ind w:left="120"/>
              <w:spacing w:after="0" w:line="222" w:lineRule="exact"/>
              <w:rPr>
                <w:sz w:val="20"/>
                <w:szCs w:val="20"/>
                <w:color w:val="auto"/>
              </w:rPr>
            </w:pPr>
            <w:r>
              <w:rPr>
                <w:rFonts w:ascii="Arial" w:cs="Arial" w:eastAsia="Arial" w:hAnsi="Arial"/>
                <w:sz w:val="22"/>
                <w:szCs w:val="22"/>
                <w:color w:val="auto"/>
                <w:w w:val="94"/>
              </w:rPr>
              <w:t>Unrealized holding gain on investments, net of tax expense of</w:t>
            </w: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r>
      <w:tr>
        <w:trPr>
          <w:trHeight w:val="243"/>
        </w:trPr>
        <w:tc>
          <w:tcPr>
            <w:tcW w:w="5820" w:type="dxa"/>
            <w:vAlign w:val="bottom"/>
            <w:shd w:val="clear" w:color="auto" w:fill="CCEEFF"/>
          </w:tcPr>
          <w:p>
            <w:pPr>
              <w:ind w:left="120"/>
              <w:spacing w:after="0" w:line="243" w:lineRule="exact"/>
              <w:rPr>
                <w:sz w:val="20"/>
                <w:szCs w:val="20"/>
                <w:color w:val="auto"/>
              </w:rPr>
            </w:pPr>
            <w:r>
              <w:rPr>
                <w:rFonts w:ascii="Arial" w:cs="Arial" w:eastAsia="Arial" w:hAnsi="Arial"/>
                <w:sz w:val="22"/>
                <w:szCs w:val="22"/>
                <w:color w:val="auto"/>
                <w:w w:val="95"/>
              </w:rPr>
              <w:t>$22 for the three months, and $73 for the nine months ended</w:t>
            </w:r>
          </w:p>
        </w:tc>
        <w:tc>
          <w:tcPr>
            <w:tcW w:w="18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r>
      <w:tr>
        <w:trPr>
          <w:trHeight w:val="265"/>
        </w:trPr>
        <w:tc>
          <w:tcPr>
            <w:tcW w:w="5820" w:type="dxa"/>
            <w:vAlign w:val="bottom"/>
            <w:shd w:val="clear" w:color="auto" w:fill="CCEEFF"/>
          </w:tcPr>
          <w:p>
            <w:pPr>
              <w:ind w:left="120"/>
              <w:spacing w:after="0"/>
              <w:rPr>
                <w:sz w:val="20"/>
                <w:szCs w:val="20"/>
                <w:color w:val="auto"/>
              </w:rPr>
            </w:pPr>
            <w:r>
              <w:rPr>
                <w:rFonts w:ascii="Arial" w:cs="Arial" w:eastAsia="Arial" w:hAnsi="Arial"/>
                <w:sz w:val="22"/>
                <w:szCs w:val="22"/>
                <w:color w:val="auto"/>
              </w:rPr>
              <w:t>September 30, 2017, respectively</w:t>
            </w:r>
          </w:p>
        </w:tc>
        <w:tc>
          <w:tcPr>
            <w:tcW w:w="180" w:type="dxa"/>
            <w:vAlign w:val="bottom"/>
            <w:tcBorders>
              <w:bottom w:val="single" w:sz="8" w:color="auto"/>
            </w:tcBorders>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2"/>
                <w:szCs w:val="22"/>
                <w:color w:val="auto"/>
              </w:rPr>
              <w:t>-</w:t>
            </w:r>
          </w:p>
        </w:tc>
        <w:tc>
          <w:tcPr>
            <w:tcW w:w="14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2"/>
                <w:szCs w:val="22"/>
                <w:color w:val="auto"/>
              </w:rPr>
              <w:t>42</w:t>
            </w:r>
          </w:p>
        </w:tc>
        <w:tc>
          <w:tcPr>
            <w:tcW w:w="240" w:type="dxa"/>
            <w:vAlign w:val="bottom"/>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2"/>
                <w:szCs w:val="22"/>
                <w:color w:val="auto"/>
              </w:rPr>
              <w:t>-</w:t>
            </w:r>
          </w:p>
        </w:tc>
        <w:tc>
          <w:tcPr>
            <w:tcW w:w="120" w:type="dxa"/>
            <w:vAlign w:val="bottom"/>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2"/>
                <w:szCs w:val="22"/>
                <w:color w:val="auto"/>
              </w:rPr>
              <w:t>137</w:t>
            </w:r>
          </w:p>
        </w:tc>
      </w:tr>
      <w:tr>
        <w:trPr>
          <w:trHeight w:val="257"/>
        </w:trPr>
        <w:tc>
          <w:tcPr>
            <w:tcW w:w="5820" w:type="dxa"/>
            <w:vAlign w:val="bottom"/>
          </w:tcPr>
          <w:p>
            <w:pPr>
              <w:spacing w:after="0" w:line="250" w:lineRule="exact"/>
              <w:rPr>
                <w:sz w:val="20"/>
                <w:szCs w:val="20"/>
                <w:color w:val="auto"/>
              </w:rPr>
            </w:pPr>
            <w:r>
              <w:rPr>
                <w:rFonts w:ascii="Arial" w:cs="Arial" w:eastAsia="Arial" w:hAnsi="Arial"/>
                <w:sz w:val="22"/>
                <w:szCs w:val="22"/>
                <w:color w:val="auto"/>
              </w:rPr>
              <w:t>Comprehensive income</w:t>
            </w:r>
          </w:p>
        </w:tc>
        <w:tc>
          <w:tcPr>
            <w:tcW w:w="180" w:type="dxa"/>
            <w:vAlign w:val="bottom"/>
            <w:tcBorders>
              <w:bottom w:val="single" w:sz="8" w:color="auto"/>
            </w:tcBorders>
          </w:tcPr>
          <w:p>
            <w:pPr>
              <w:jc w:val="right"/>
              <w:spacing w:after="0" w:line="250" w:lineRule="exact"/>
              <w:rPr>
                <w:sz w:val="20"/>
                <w:szCs w:val="20"/>
                <w:color w:val="auto"/>
              </w:rPr>
            </w:pPr>
            <w:r>
              <w:rPr>
                <w:rFonts w:ascii="Arial" w:cs="Arial" w:eastAsia="Arial" w:hAnsi="Arial"/>
                <w:sz w:val="22"/>
                <w:szCs w:val="22"/>
                <w:color w:val="auto"/>
                <w:w w:val="97"/>
              </w:rPr>
              <w:t>$</w:t>
            </w:r>
          </w:p>
        </w:tc>
        <w:tc>
          <w:tcPr>
            <w:tcW w:w="700" w:type="dxa"/>
            <w:vAlign w:val="bottom"/>
            <w:tcBorders>
              <w:bottom w:val="single" w:sz="8" w:color="auto"/>
            </w:tcBorders>
          </w:tcPr>
          <w:p>
            <w:pPr>
              <w:jc w:val="right"/>
              <w:spacing w:after="0" w:line="250" w:lineRule="exact"/>
              <w:rPr>
                <w:sz w:val="20"/>
                <w:szCs w:val="20"/>
                <w:color w:val="auto"/>
              </w:rPr>
            </w:pPr>
            <w:r>
              <w:rPr>
                <w:rFonts w:ascii="Arial" w:cs="Arial" w:eastAsia="Arial" w:hAnsi="Arial"/>
                <w:sz w:val="22"/>
                <w:szCs w:val="22"/>
                <w:color w:val="auto"/>
                <w:w w:val="95"/>
              </w:rPr>
              <w:t>78,216</w:t>
            </w:r>
          </w:p>
        </w:tc>
        <w:tc>
          <w:tcPr>
            <w:tcW w:w="140" w:type="dxa"/>
            <w:vAlign w:val="bottom"/>
          </w:tcPr>
          <w:p>
            <w:pPr>
              <w:spacing w:after="0"/>
              <w:rPr>
                <w:sz w:val="22"/>
                <w:szCs w:val="22"/>
                <w:color w:val="auto"/>
              </w:rPr>
            </w:pPr>
          </w:p>
        </w:tc>
        <w:tc>
          <w:tcPr>
            <w:tcW w:w="200" w:type="dxa"/>
            <w:vAlign w:val="bottom"/>
            <w:tcBorders>
              <w:bottom w:val="single" w:sz="8" w:color="auto"/>
            </w:tcBorders>
          </w:tcPr>
          <w:p>
            <w:pPr>
              <w:jc w:val="right"/>
              <w:spacing w:after="0" w:line="250" w:lineRule="exact"/>
              <w:rPr>
                <w:sz w:val="20"/>
                <w:szCs w:val="20"/>
                <w:color w:val="auto"/>
              </w:rPr>
            </w:pPr>
            <w:r>
              <w:rPr>
                <w:rFonts w:ascii="Arial" w:cs="Arial" w:eastAsia="Arial" w:hAnsi="Arial"/>
                <w:sz w:val="22"/>
                <w:szCs w:val="22"/>
                <w:color w:val="auto"/>
                <w:w w:val="97"/>
              </w:rPr>
              <w:t>$</w:t>
            </w:r>
          </w:p>
        </w:tc>
        <w:tc>
          <w:tcPr>
            <w:tcW w:w="740" w:type="dxa"/>
            <w:vAlign w:val="bottom"/>
            <w:tcBorders>
              <w:bottom w:val="single" w:sz="8" w:color="auto"/>
            </w:tcBorders>
          </w:tcPr>
          <w:p>
            <w:pPr>
              <w:jc w:val="right"/>
              <w:spacing w:after="0" w:line="250" w:lineRule="exact"/>
              <w:rPr>
                <w:sz w:val="20"/>
                <w:szCs w:val="20"/>
                <w:color w:val="auto"/>
              </w:rPr>
            </w:pPr>
            <w:r>
              <w:rPr>
                <w:rFonts w:ascii="Arial" w:cs="Arial" w:eastAsia="Arial" w:hAnsi="Arial"/>
                <w:sz w:val="22"/>
                <w:szCs w:val="22"/>
                <w:color w:val="auto"/>
                <w:w w:val="98"/>
              </w:rPr>
              <w:t>76,267</w:t>
            </w:r>
          </w:p>
        </w:tc>
        <w:tc>
          <w:tcPr>
            <w:tcW w:w="240" w:type="dxa"/>
            <w:vAlign w:val="bottom"/>
          </w:tcPr>
          <w:p>
            <w:pPr>
              <w:spacing w:after="0"/>
              <w:rPr>
                <w:sz w:val="22"/>
                <w:szCs w:val="22"/>
                <w:color w:val="auto"/>
              </w:rPr>
            </w:pPr>
          </w:p>
        </w:tc>
        <w:tc>
          <w:tcPr>
            <w:tcW w:w="860" w:type="dxa"/>
            <w:vAlign w:val="bottom"/>
            <w:tcBorders>
              <w:bottom w:val="single" w:sz="8" w:color="auto"/>
            </w:tcBorders>
          </w:tcPr>
          <w:p>
            <w:pPr>
              <w:jc w:val="right"/>
              <w:spacing w:after="0" w:line="250" w:lineRule="exact"/>
              <w:rPr>
                <w:sz w:val="20"/>
                <w:szCs w:val="20"/>
                <w:color w:val="auto"/>
              </w:rPr>
            </w:pPr>
            <w:r>
              <w:rPr>
                <w:rFonts w:ascii="Arial" w:cs="Arial" w:eastAsia="Arial" w:hAnsi="Arial"/>
                <w:sz w:val="22"/>
                <w:szCs w:val="22"/>
                <w:u w:val="single" w:color="auto"/>
                <w:color w:val="auto"/>
                <w:w w:val="87"/>
              </w:rPr>
              <w:t>$</w:t>
            </w:r>
            <w:r>
              <w:rPr>
                <w:rFonts w:ascii="Arial" w:cs="Arial" w:eastAsia="Arial" w:hAnsi="Arial"/>
                <w:sz w:val="22"/>
                <w:szCs w:val="22"/>
                <w:color w:val="auto"/>
                <w:w w:val="87"/>
              </w:rPr>
              <w:t>195,645</w:t>
            </w:r>
          </w:p>
        </w:tc>
        <w:tc>
          <w:tcPr>
            <w:tcW w:w="120" w:type="dxa"/>
            <w:vAlign w:val="bottom"/>
          </w:tcPr>
          <w:p>
            <w:pPr>
              <w:spacing w:after="0"/>
              <w:rPr>
                <w:sz w:val="22"/>
                <w:szCs w:val="22"/>
                <w:color w:val="auto"/>
              </w:rPr>
            </w:pPr>
          </w:p>
        </w:tc>
        <w:tc>
          <w:tcPr>
            <w:tcW w:w="860" w:type="dxa"/>
            <w:vAlign w:val="bottom"/>
            <w:tcBorders>
              <w:bottom w:val="single" w:sz="8" w:color="auto"/>
            </w:tcBorders>
          </w:tcPr>
          <w:p>
            <w:pPr>
              <w:jc w:val="right"/>
              <w:spacing w:after="0" w:line="250" w:lineRule="exact"/>
              <w:rPr>
                <w:sz w:val="20"/>
                <w:szCs w:val="20"/>
                <w:color w:val="auto"/>
              </w:rPr>
            </w:pPr>
            <w:r>
              <w:rPr>
                <w:rFonts w:ascii="Arial" w:cs="Arial" w:eastAsia="Arial" w:hAnsi="Arial"/>
                <w:sz w:val="22"/>
                <w:szCs w:val="22"/>
                <w:u w:val="single" w:color="auto"/>
                <w:color w:val="auto"/>
                <w:w w:val="84"/>
              </w:rPr>
              <w:t>$</w:t>
            </w:r>
            <w:r>
              <w:rPr>
                <w:rFonts w:ascii="Arial" w:cs="Arial" w:eastAsia="Arial" w:hAnsi="Arial"/>
                <w:sz w:val="22"/>
                <w:szCs w:val="22"/>
                <w:color w:val="auto"/>
                <w:w w:val="84"/>
              </w:rPr>
              <w:t>186,402</w:t>
            </w:r>
          </w:p>
        </w:tc>
      </w:tr>
    </w:tbl>
    <w:p>
      <w:pPr>
        <w:spacing w:after="0" w:line="289" w:lineRule="exact"/>
        <w:rPr>
          <w:sz w:val="20"/>
          <w:szCs w:val="20"/>
          <w:color w:val="auto"/>
        </w:rPr>
      </w:pPr>
    </w:p>
    <w:p>
      <w:pPr>
        <w:spacing w:after="0"/>
        <w:rPr>
          <w:sz w:val="20"/>
          <w:szCs w:val="20"/>
          <w:color w:val="auto"/>
        </w:rPr>
      </w:pPr>
      <w:r>
        <w:rPr>
          <w:rFonts w:ascii="Arial" w:cs="Arial" w:eastAsia="Arial" w:hAnsi="Arial"/>
          <w:sz w:val="22"/>
          <w:szCs w:val="22"/>
          <w:color w:val="auto"/>
        </w:rPr>
        <w:t>See notes to consolidated financial statements beginning on page 9 of this report.</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63500</wp:posOffset>
            </wp:positionV>
            <wp:extent cx="6156960" cy="514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156960" cy="51435"/>
                    </a:xfrm>
                    <a:prstGeom prst="rect">
                      <a:avLst/>
                    </a:prstGeom>
                    <a:noFill/>
                  </pic:spPr>
                </pic:pic>
              </a:graphicData>
            </a:graphic>
          </wp:anchor>
        </w:drawing>
      </w:r>
    </w:p>
    <w:p>
      <w:pPr>
        <w:sectPr>
          <w:pgSz w:w="11900" w:h="16838" w:orient="portrait"/>
          <w:cols w:equalWidth="0" w:num="1">
            <w:col w:w="9860"/>
          </w:cols>
          <w:pgMar w:left="1020" w:top="118" w:right="1019" w:bottom="1440" w:gutter="0" w:footer="0" w:header="0"/>
        </w:sectPr>
      </w:pPr>
    </w:p>
    <w:bookmarkStart w:id="7" w:name="page8"/>
    <w:bookmarkEnd w:id="7"/>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9" w:lineRule="exact"/>
        <w:rPr>
          <w:sz w:val="20"/>
          <w:szCs w:val="20"/>
          <w:color w:val="auto"/>
        </w:rPr>
      </w:pPr>
    </w:p>
    <w:p>
      <w:pPr>
        <w:ind w:left="2680"/>
        <w:spacing w:after="0"/>
        <w:rPr>
          <w:sz w:val="20"/>
          <w:szCs w:val="20"/>
          <w:color w:val="auto"/>
        </w:rPr>
      </w:pPr>
      <w:r>
        <w:rPr>
          <w:rFonts w:ascii="Arial" w:cs="Arial" w:eastAsia="Arial" w:hAnsi="Arial"/>
          <w:sz w:val="22"/>
          <w:szCs w:val="22"/>
          <w:color w:val="auto"/>
        </w:rPr>
        <w:t>AQUA AMERICA, INC. AND SUBSIDIARIES</w:t>
      </w:r>
    </w:p>
    <w:p>
      <w:pPr>
        <w:spacing w:after="0" w:line="102" w:lineRule="exact"/>
        <w:rPr>
          <w:sz w:val="20"/>
          <w:szCs w:val="20"/>
          <w:color w:val="auto"/>
        </w:rPr>
      </w:pPr>
    </w:p>
    <w:p>
      <w:pPr>
        <w:ind w:left="2200"/>
        <w:spacing w:after="0"/>
        <w:rPr>
          <w:sz w:val="20"/>
          <w:szCs w:val="20"/>
          <w:color w:val="auto"/>
        </w:rPr>
      </w:pPr>
      <w:r>
        <w:rPr>
          <w:rFonts w:ascii="Arial" w:cs="Arial" w:eastAsia="Arial" w:hAnsi="Arial"/>
          <w:sz w:val="22"/>
          <w:szCs w:val="22"/>
          <w:color w:val="auto"/>
        </w:rPr>
        <w:t>CONSOLIDATED STATEMENTS OF CAPITALIZATION</w:t>
      </w:r>
    </w:p>
    <w:p>
      <w:pPr>
        <w:jc w:val="center"/>
        <w:ind w:right="40"/>
        <w:spacing w:after="0" w:line="187" w:lineRule="auto"/>
        <w:rPr>
          <w:sz w:val="20"/>
          <w:szCs w:val="20"/>
          <w:color w:val="auto"/>
        </w:rPr>
      </w:pPr>
      <w:r>
        <w:rPr>
          <w:rFonts w:ascii="Arial" w:cs="Arial" w:eastAsia="Arial" w:hAnsi="Arial"/>
          <w:sz w:val="18"/>
          <w:szCs w:val="18"/>
          <w:color w:val="auto"/>
        </w:rPr>
        <w:t>(In thousands of dollars, except per share amounts)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(UNAUDITED)</w:t>
      </w: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540" w:type="dxa"/>
            <w:vAlign w:val="bottom"/>
            <w:gridSpan w:val="3"/>
          </w:tcPr>
          <w:p>
            <w:pPr>
              <w:ind w:left="160"/>
              <w:spacing w:after="0"/>
              <w:rPr>
                <w:sz w:val="20"/>
                <w:szCs w:val="20"/>
                <w:color w:val="auto"/>
              </w:rPr>
            </w:pPr>
            <w:r>
              <w:rPr>
                <w:rFonts w:ascii="Arial" w:cs="Arial" w:eastAsia="Arial" w:hAnsi="Arial"/>
                <w:sz w:val="18"/>
                <w:szCs w:val="18"/>
                <w:color w:val="auto"/>
              </w:rPr>
              <w:t>September 30,</w:t>
            </w:r>
          </w:p>
        </w:tc>
        <w:tc>
          <w:tcPr>
            <w:tcW w:w="1300" w:type="dxa"/>
            <w:vAlign w:val="bottom"/>
            <w:gridSpan w:val="2"/>
          </w:tcPr>
          <w:p>
            <w:pPr>
              <w:jc w:val="right"/>
              <w:ind w:right="110"/>
              <w:spacing w:after="0"/>
              <w:rPr>
                <w:sz w:val="20"/>
                <w:szCs w:val="20"/>
                <w:color w:val="auto"/>
              </w:rPr>
            </w:pPr>
            <w:r>
              <w:rPr>
                <w:rFonts w:ascii="Arial" w:cs="Arial" w:eastAsia="Arial" w:hAnsi="Arial"/>
                <w:sz w:val="16"/>
                <w:szCs w:val="16"/>
                <w:color w:val="auto"/>
              </w:rPr>
              <w:t>December 31,</w:t>
            </w:r>
          </w:p>
        </w:tc>
        <w:tc>
          <w:tcPr>
            <w:tcW w:w="0" w:type="dxa"/>
            <w:vAlign w:val="bottom"/>
          </w:tcPr>
          <w:p>
            <w:pPr>
              <w:spacing w:after="0"/>
              <w:rPr>
                <w:sz w:val="1"/>
                <w:szCs w:val="1"/>
                <w:color w:val="auto"/>
              </w:rPr>
            </w:pPr>
          </w:p>
        </w:tc>
      </w:tr>
      <w:tr>
        <w:trPr>
          <w:trHeight w:val="257"/>
        </w:trPr>
        <w:tc>
          <w:tcPr>
            <w:tcW w:w="4580" w:type="dxa"/>
            <w:vAlign w:val="bottom"/>
            <w:gridSpan w:val="4"/>
            <w:vMerge w:val="restart"/>
          </w:tcPr>
          <w:p>
            <w:pPr>
              <w:spacing w:after="0"/>
              <w:rPr>
                <w:sz w:val="20"/>
                <w:szCs w:val="20"/>
                <w:color w:val="auto"/>
              </w:rPr>
            </w:pPr>
            <w:r>
              <w:rPr>
                <w:rFonts w:ascii="Arial" w:cs="Arial" w:eastAsia="Arial" w:hAnsi="Arial"/>
                <w:sz w:val="18"/>
                <w:szCs w:val="18"/>
                <w:color w:val="auto"/>
              </w:rPr>
              <w:t>Stockholders' equity:</w:t>
            </w:r>
          </w:p>
        </w:tc>
        <w:tc>
          <w:tcPr>
            <w:tcW w:w="80" w:type="dxa"/>
            <w:vAlign w:val="bottom"/>
          </w:tcPr>
          <w:p>
            <w:pPr>
              <w:spacing w:after="0"/>
              <w:rPr>
                <w:sz w:val="22"/>
                <w:szCs w:val="22"/>
                <w:color w:val="auto"/>
              </w:rPr>
            </w:pPr>
          </w:p>
        </w:tc>
        <w:tc>
          <w:tcPr>
            <w:tcW w:w="15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2018</w:t>
            </w:r>
          </w:p>
        </w:tc>
        <w:tc>
          <w:tcPr>
            <w:tcW w:w="16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2017</w:t>
            </w:r>
          </w:p>
        </w:tc>
        <w:tc>
          <w:tcPr>
            <w:tcW w:w="0" w:type="dxa"/>
            <w:vAlign w:val="bottom"/>
          </w:tcPr>
          <w:p>
            <w:pPr>
              <w:spacing w:after="0"/>
              <w:rPr>
                <w:sz w:val="1"/>
                <w:szCs w:val="1"/>
                <w:color w:val="auto"/>
              </w:rPr>
            </w:pPr>
          </w:p>
        </w:tc>
      </w:tr>
      <w:tr>
        <w:trPr>
          <w:trHeight w:val="196"/>
        </w:trPr>
        <w:tc>
          <w:tcPr>
            <w:tcW w:w="4580" w:type="dxa"/>
            <w:vAlign w:val="bottom"/>
            <w:gridSpan w:val="4"/>
            <w:vMerge w:val="continue"/>
          </w:tcPr>
          <w:p>
            <w:pPr>
              <w:spacing w:after="0"/>
              <w:rPr>
                <w:sz w:val="17"/>
                <w:szCs w:val="17"/>
                <w:color w:val="auto"/>
              </w:rPr>
            </w:pPr>
          </w:p>
        </w:tc>
        <w:tc>
          <w:tcPr>
            <w:tcW w:w="8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Common stock, $.50 par value</w:t>
            </w:r>
          </w:p>
        </w:tc>
        <w:tc>
          <w:tcPr>
            <w:tcW w:w="8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90,499</w:t>
            </w: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90,350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gridSpan w:val="3"/>
          </w:tcPr>
          <w:p>
            <w:pPr>
              <w:ind w:left="160"/>
              <w:spacing w:after="0"/>
              <w:rPr>
                <w:sz w:val="20"/>
                <w:szCs w:val="20"/>
                <w:color w:val="auto"/>
              </w:rPr>
            </w:pPr>
            <w:r>
              <w:rPr>
                <w:rFonts w:ascii="Arial" w:cs="Arial" w:eastAsia="Arial" w:hAnsi="Arial"/>
                <w:sz w:val="18"/>
                <w:szCs w:val="18"/>
                <w:color w:val="auto"/>
              </w:rPr>
              <w:t>Capital in excess of par value</w:t>
            </w:r>
          </w:p>
        </w:tc>
        <w:tc>
          <w:tcPr>
            <w:tcW w:w="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814,004</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807,135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Retained earnings</w:t>
            </w:r>
          </w:p>
        </w:tc>
        <w:tc>
          <w:tcPr>
            <w:tcW w:w="8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1,217,007</w:t>
            </w: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1,132,556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gridSpan w:val="3"/>
          </w:tcPr>
          <w:p>
            <w:pPr>
              <w:ind w:left="160"/>
              <w:spacing w:after="0"/>
              <w:rPr>
                <w:sz w:val="20"/>
                <w:szCs w:val="20"/>
                <w:color w:val="auto"/>
              </w:rPr>
            </w:pPr>
            <w:r>
              <w:rPr>
                <w:rFonts w:ascii="Arial" w:cs="Arial" w:eastAsia="Arial" w:hAnsi="Arial"/>
                <w:sz w:val="18"/>
                <w:szCs w:val="18"/>
                <w:color w:val="auto"/>
              </w:rPr>
              <w:t>Treasury stock, at cost</w:t>
            </w:r>
          </w:p>
        </w:tc>
        <w:tc>
          <w:tcPr>
            <w:tcW w:w="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(75,772)</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(73,280)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Accumulated other comprehensive income</w:t>
            </w:r>
          </w:p>
        </w:tc>
        <w:tc>
          <w:tcPr>
            <w:tcW w:w="8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60" w:type="dxa"/>
            <w:vAlign w:val="bottom"/>
            <w:tcBorders>
              <w:bottom w:val="single" w:sz="8" w:color="CCEEFF"/>
            </w:tcBorders>
            <w:gridSpan w:val="3"/>
          </w:tcPr>
          <w:p>
            <w:pPr>
              <w:spacing w:after="0"/>
              <w:rPr>
                <w:sz w:val="20"/>
                <w:szCs w:val="20"/>
                <w:color w:val="auto"/>
              </w:rPr>
            </w:pPr>
            <w:r>
              <w:rPr>
                <w:rFonts w:ascii="Arial" w:cs="Arial" w:eastAsia="Arial" w:hAnsi="Arial"/>
                <w:sz w:val="18"/>
                <w:szCs w:val="18"/>
                <w:color w:val="auto"/>
              </w:rPr>
              <w:t>Total stockholders' equity</w:t>
            </w:r>
          </w:p>
        </w:tc>
        <w:tc>
          <w:tcPr>
            <w:tcW w:w="80" w:type="dxa"/>
            <w:vAlign w:val="bottom"/>
            <w:tcBorders>
              <w:bottom w:val="single" w:sz="8" w:color="CCEEFF"/>
            </w:tcBorders>
          </w:tcPr>
          <w:p>
            <w:pPr>
              <w:spacing w:after="0"/>
              <w:rPr>
                <w:sz w:val="18"/>
                <w:szCs w:val="18"/>
                <w:color w:val="auto"/>
              </w:rPr>
            </w:pPr>
          </w:p>
        </w:tc>
        <w:tc>
          <w:tcPr>
            <w:tcW w:w="1520" w:type="dxa"/>
            <w:vAlign w:val="bottom"/>
            <w:tcBorders>
              <w:bottom w:val="single" w:sz="8" w:color="CCEEFF"/>
            </w:tcBorders>
          </w:tcPr>
          <w:p>
            <w:pPr>
              <w:spacing w:after="0"/>
              <w:rPr>
                <w:sz w:val="18"/>
                <w:szCs w:val="18"/>
                <w:color w:val="auto"/>
              </w:rPr>
            </w:pPr>
          </w:p>
        </w:tc>
        <w:tc>
          <w:tcPr>
            <w:tcW w:w="6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2,045,738</w:t>
            </w:r>
          </w:p>
        </w:tc>
        <w:tc>
          <w:tcPr>
            <w:tcW w:w="16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1,957,621</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400" w:type="dxa"/>
            <w:vAlign w:val="bottom"/>
            <w:shd w:val="clear" w:color="auto" w:fill="CCEEFF"/>
          </w:tcPr>
          <w:p>
            <w:pPr>
              <w:spacing w:after="0"/>
              <w:rPr>
                <w:sz w:val="8"/>
                <w:szCs w:val="8"/>
                <w:color w:val="auto"/>
              </w:rPr>
            </w:pPr>
          </w:p>
        </w:tc>
        <w:tc>
          <w:tcPr>
            <w:tcW w:w="1420" w:type="dxa"/>
            <w:vAlign w:val="bottom"/>
            <w:shd w:val="clear" w:color="auto" w:fill="CCEEFF"/>
          </w:tcPr>
          <w:p>
            <w:pPr>
              <w:spacing w:after="0"/>
              <w:rPr>
                <w:sz w:val="8"/>
                <w:szCs w:val="8"/>
                <w:color w:val="auto"/>
              </w:rPr>
            </w:pPr>
          </w:p>
        </w:tc>
        <w:tc>
          <w:tcPr>
            <w:tcW w:w="17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52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102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96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6780" w:type="dxa"/>
            <w:vAlign w:val="bottom"/>
            <w:gridSpan w:val="6"/>
          </w:tcPr>
          <w:p>
            <w:pPr>
              <w:spacing w:after="0" w:line="201" w:lineRule="exact"/>
              <w:rPr>
                <w:sz w:val="20"/>
                <w:szCs w:val="20"/>
                <w:color w:val="auto"/>
              </w:rPr>
            </w:pPr>
            <w:r>
              <w:rPr>
                <w:rFonts w:ascii="Arial" w:cs="Arial" w:eastAsia="Arial" w:hAnsi="Arial"/>
                <w:sz w:val="18"/>
                <w:szCs w:val="18"/>
                <w:color w:val="auto"/>
              </w:rPr>
              <w:t>Long-term debt of subsidiaries (substantially collateralized by utility plant):</w:t>
            </w:r>
          </w:p>
        </w:tc>
        <w:tc>
          <w:tcPr>
            <w:tcW w:w="3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3160" w:type="dxa"/>
            <w:vAlign w:val="bottom"/>
            <w:gridSpan w:val="2"/>
          </w:tcPr>
          <w:p>
            <w:pPr>
              <w:jc w:val="center"/>
              <w:ind w:right="1740"/>
              <w:spacing w:after="0" w:line="190" w:lineRule="exact"/>
              <w:rPr>
                <w:sz w:val="20"/>
                <w:szCs w:val="20"/>
                <w:color w:val="auto"/>
              </w:rPr>
            </w:pPr>
            <w:r>
              <w:rPr>
                <w:rFonts w:ascii="Arial" w:cs="Arial" w:eastAsia="Arial" w:hAnsi="Arial"/>
                <w:sz w:val="18"/>
                <w:szCs w:val="18"/>
                <w:color w:val="auto"/>
                <w:w w:val="88"/>
              </w:rPr>
              <w:t>Interest Rate Range</w:t>
            </w:r>
          </w:p>
        </w:tc>
        <w:tc>
          <w:tcPr>
            <w:tcW w:w="2220" w:type="dxa"/>
            <w:vAlign w:val="bottom"/>
            <w:gridSpan w:val="3"/>
          </w:tcPr>
          <w:p>
            <w:pPr>
              <w:jc w:val="center"/>
              <w:ind w:right="540"/>
              <w:spacing w:after="0" w:line="190" w:lineRule="exact"/>
              <w:rPr>
                <w:sz w:val="20"/>
                <w:szCs w:val="20"/>
                <w:color w:val="auto"/>
              </w:rPr>
            </w:pPr>
            <w:r>
              <w:rPr>
                <w:rFonts w:ascii="Arial" w:cs="Arial" w:eastAsia="Arial" w:hAnsi="Arial"/>
                <w:sz w:val="18"/>
                <w:szCs w:val="18"/>
                <w:color w:val="auto"/>
                <w:w w:val="92"/>
              </w:rPr>
              <w:t>Maturity Date Range</w:t>
            </w:r>
          </w:p>
        </w:tc>
        <w:tc>
          <w:tcPr>
            <w:tcW w:w="3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420" w:type="dxa"/>
            <w:vAlign w:val="bottom"/>
            <w:tcBorders>
              <w:top w:val="single" w:sz="8" w:color="auto"/>
            </w:tcBorders>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20" w:type="dxa"/>
            <w:vAlign w:val="bottom"/>
            <w:tcBorders>
              <w:top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3160" w:type="dxa"/>
            <w:vAlign w:val="bottom"/>
            <w:gridSpan w:val="2"/>
            <w:shd w:val="clear" w:color="auto" w:fill="CCEEFF"/>
          </w:tcPr>
          <w:p>
            <w:pPr>
              <w:jc w:val="center"/>
              <w:ind w:right="1740"/>
              <w:spacing w:after="0"/>
              <w:rPr>
                <w:sz w:val="20"/>
                <w:szCs w:val="20"/>
                <w:color w:val="auto"/>
              </w:rPr>
            </w:pPr>
            <w:r>
              <w:rPr>
                <w:rFonts w:ascii="Arial" w:cs="Arial" w:eastAsia="Arial" w:hAnsi="Arial"/>
                <w:sz w:val="18"/>
                <w:szCs w:val="18"/>
                <w:color w:val="auto"/>
                <w:w w:val="95"/>
              </w:rPr>
              <w:t>0.00% to 0.99%</w:t>
            </w:r>
          </w:p>
        </w:tc>
        <w:tc>
          <w:tcPr>
            <w:tcW w:w="80" w:type="dxa"/>
            <w:vAlign w:val="bottom"/>
            <w:shd w:val="clear" w:color="auto" w:fill="CCEEFF"/>
          </w:tcPr>
          <w:p>
            <w:pPr>
              <w:spacing w:after="0"/>
              <w:rPr>
                <w:sz w:val="18"/>
                <w:szCs w:val="18"/>
                <w:color w:val="auto"/>
              </w:rPr>
            </w:pPr>
          </w:p>
        </w:tc>
        <w:tc>
          <w:tcPr>
            <w:tcW w:w="2140" w:type="dxa"/>
            <w:vAlign w:val="bottom"/>
            <w:gridSpan w:val="2"/>
            <w:shd w:val="clear" w:color="auto" w:fill="CCEEFF"/>
          </w:tcPr>
          <w:p>
            <w:pPr>
              <w:jc w:val="center"/>
              <w:ind w:right="620"/>
              <w:spacing w:after="0"/>
              <w:rPr>
                <w:sz w:val="20"/>
                <w:szCs w:val="20"/>
                <w:color w:val="auto"/>
              </w:rPr>
            </w:pPr>
            <w:r>
              <w:rPr>
                <w:rFonts w:ascii="Arial" w:cs="Arial" w:eastAsia="Arial" w:hAnsi="Arial"/>
                <w:sz w:val="18"/>
                <w:szCs w:val="18"/>
                <w:color w:val="auto"/>
                <w:w w:val="91"/>
              </w:rPr>
              <w:t>2023 to 2033</w:t>
            </w:r>
          </w:p>
        </w:tc>
        <w:tc>
          <w:tcPr>
            <w:tcW w:w="3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3,732</w:t>
            </w: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3160" w:type="dxa"/>
            <w:vAlign w:val="bottom"/>
            <w:gridSpan w:val="2"/>
          </w:tcPr>
          <w:p>
            <w:pPr>
              <w:jc w:val="center"/>
              <w:ind w:right="1740"/>
              <w:spacing w:after="0"/>
              <w:rPr>
                <w:sz w:val="20"/>
                <w:szCs w:val="20"/>
                <w:color w:val="auto"/>
              </w:rPr>
            </w:pPr>
            <w:r>
              <w:rPr>
                <w:rFonts w:ascii="Arial" w:cs="Arial" w:eastAsia="Arial" w:hAnsi="Arial"/>
                <w:sz w:val="18"/>
                <w:szCs w:val="18"/>
                <w:color w:val="auto"/>
                <w:w w:val="95"/>
              </w:rPr>
              <w:t>1.00% to 1.99%</w:t>
            </w:r>
          </w:p>
        </w:tc>
        <w:tc>
          <w:tcPr>
            <w:tcW w:w="80" w:type="dxa"/>
            <w:vAlign w:val="bottom"/>
          </w:tcPr>
          <w:p>
            <w:pPr>
              <w:spacing w:after="0"/>
              <w:rPr>
                <w:sz w:val="18"/>
                <w:szCs w:val="18"/>
                <w:color w:val="auto"/>
              </w:rPr>
            </w:pPr>
          </w:p>
        </w:tc>
        <w:tc>
          <w:tcPr>
            <w:tcW w:w="2140" w:type="dxa"/>
            <w:vAlign w:val="bottom"/>
            <w:gridSpan w:val="2"/>
          </w:tcPr>
          <w:p>
            <w:pPr>
              <w:jc w:val="center"/>
              <w:ind w:right="620"/>
              <w:spacing w:after="0"/>
              <w:rPr>
                <w:sz w:val="20"/>
                <w:szCs w:val="20"/>
                <w:color w:val="auto"/>
              </w:rPr>
            </w:pPr>
            <w:r>
              <w:rPr>
                <w:rFonts w:ascii="Arial" w:cs="Arial" w:eastAsia="Arial" w:hAnsi="Arial"/>
                <w:sz w:val="18"/>
                <w:szCs w:val="18"/>
                <w:color w:val="auto"/>
                <w:w w:val="91"/>
              </w:rPr>
              <w:t>2019 to 2035</w:t>
            </w:r>
          </w:p>
        </w:tc>
        <w:tc>
          <w:tcPr>
            <w:tcW w:w="3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11,870</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12,914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3160" w:type="dxa"/>
            <w:vAlign w:val="bottom"/>
            <w:gridSpan w:val="2"/>
            <w:shd w:val="clear" w:color="auto" w:fill="CCEEFF"/>
          </w:tcPr>
          <w:p>
            <w:pPr>
              <w:jc w:val="center"/>
              <w:ind w:right="1740"/>
              <w:spacing w:after="0"/>
              <w:rPr>
                <w:sz w:val="20"/>
                <w:szCs w:val="20"/>
                <w:color w:val="auto"/>
              </w:rPr>
            </w:pPr>
            <w:r>
              <w:rPr>
                <w:rFonts w:ascii="Arial" w:cs="Arial" w:eastAsia="Arial" w:hAnsi="Arial"/>
                <w:sz w:val="18"/>
                <w:szCs w:val="18"/>
                <w:color w:val="auto"/>
                <w:w w:val="95"/>
              </w:rPr>
              <w:t>2.00% to 2.99%</w:t>
            </w:r>
          </w:p>
        </w:tc>
        <w:tc>
          <w:tcPr>
            <w:tcW w:w="80" w:type="dxa"/>
            <w:vAlign w:val="bottom"/>
            <w:shd w:val="clear" w:color="auto" w:fill="CCEEFF"/>
          </w:tcPr>
          <w:p>
            <w:pPr>
              <w:spacing w:after="0"/>
              <w:rPr>
                <w:sz w:val="18"/>
                <w:szCs w:val="18"/>
                <w:color w:val="auto"/>
              </w:rPr>
            </w:pPr>
          </w:p>
        </w:tc>
        <w:tc>
          <w:tcPr>
            <w:tcW w:w="2140" w:type="dxa"/>
            <w:vAlign w:val="bottom"/>
            <w:gridSpan w:val="2"/>
            <w:shd w:val="clear" w:color="auto" w:fill="CCEEFF"/>
          </w:tcPr>
          <w:p>
            <w:pPr>
              <w:jc w:val="center"/>
              <w:ind w:right="620"/>
              <w:spacing w:after="0"/>
              <w:rPr>
                <w:sz w:val="20"/>
                <w:szCs w:val="20"/>
                <w:color w:val="auto"/>
              </w:rPr>
            </w:pPr>
            <w:r>
              <w:rPr>
                <w:rFonts w:ascii="Arial" w:cs="Arial" w:eastAsia="Arial" w:hAnsi="Arial"/>
                <w:sz w:val="18"/>
                <w:szCs w:val="18"/>
                <w:color w:val="auto"/>
                <w:w w:val="91"/>
              </w:rPr>
              <w:t>2019 to 2033</w:t>
            </w:r>
          </w:p>
        </w:tc>
        <w:tc>
          <w:tcPr>
            <w:tcW w:w="3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17,934</w:t>
            </w: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3160" w:type="dxa"/>
            <w:vAlign w:val="bottom"/>
            <w:gridSpan w:val="2"/>
          </w:tcPr>
          <w:p>
            <w:pPr>
              <w:jc w:val="center"/>
              <w:ind w:right="1740"/>
              <w:spacing w:after="0"/>
              <w:rPr>
                <w:sz w:val="20"/>
                <w:szCs w:val="20"/>
                <w:color w:val="auto"/>
              </w:rPr>
            </w:pPr>
            <w:r>
              <w:rPr>
                <w:rFonts w:ascii="Arial" w:cs="Arial" w:eastAsia="Arial" w:hAnsi="Arial"/>
                <w:sz w:val="18"/>
                <w:szCs w:val="18"/>
                <w:color w:val="auto"/>
                <w:w w:val="95"/>
              </w:rPr>
              <w:t>3.00% to 3.99%</w:t>
            </w:r>
          </w:p>
        </w:tc>
        <w:tc>
          <w:tcPr>
            <w:tcW w:w="80" w:type="dxa"/>
            <w:vAlign w:val="bottom"/>
          </w:tcPr>
          <w:p>
            <w:pPr>
              <w:spacing w:after="0"/>
              <w:rPr>
                <w:sz w:val="18"/>
                <w:szCs w:val="18"/>
                <w:color w:val="auto"/>
              </w:rPr>
            </w:pPr>
          </w:p>
        </w:tc>
        <w:tc>
          <w:tcPr>
            <w:tcW w:w="2140" w:type="dxa"/>
            <w:vAlign w:val="bottom"/>
            <w:gridSpan w:val="2"/>
          </w:tcPr>
          <w:p>
            <w:pPr>
              <w:jc w:val="center"/>
              <w:ind w:right="620"/>
              <w:spacing w:after="0"/>
              <w:rPr>
                <w:sz w:val="20"/>
                <w:szCs w:val="20"/>
                <w:color w:val="auto"/>
              </w:rPr>
            </w:pPr>
            <w:r>
              <w:rPr>
                <w:rFonts w:ascii="Arial" w:cs="Arial" w:eastAsia="Arial" w:hAnsi="Arial"/>
                <w:sz w:val="18"/>
                <w:szCs w:val="18"/>
                <w:color w:val="auto"/>
                <w:w w:val="91"/>
              </w:rPr>
              <w:t>2019 to 2056</w:t>
            </w:r>
          </w:p>
        </w:tc>
        <w:tc>
          <w:tcPr>
            <w:tcW w:w="3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498,121</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475,232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3160" w:type="dxa"/>
            <w:vAlign w:val="bottom"/>
            <w:gridSpan w:val="2"/>
            <w:shd w:val="clear" w:color="auto" w:fill="CCEEFF"/>
          </w:tcPr>
          <w:p>
            <w:pPr>
              <w:jc w:val="center"/>
              <w:ind w:right="1740"/>
              <w:spacing w:after="0"/>
              <w:rPr>
                <w:sz w:val="20"/>
                <w:szCs w:val="20"/>
                <w:color w:val="auto"/>
              </w:rPr>
            </w:pPr>
            <w:r>
              <w:rPr>
                <w:rFonts w:ascii="Arial" w:cs="Arial" w:eastAsia="Arial" w:hAnsi="Arial"/>
                <w:sz w:val="18"/>
                <w:szCs w:val="18"/>
                <w:color w:val="auto"/>
                <w:w w:val="95"/>
              </w:rPr>
              <w:t>4.00% to 4.99%</w:t>
            </w:r>
          </w:p>
        </w:tc>
        <w:tc>
          <w:tcPr>
            <w:tcW w:w="80" w:type="dxa"/>
            <w:vAlign w:val="bottom"/>
            <w:shd w:val="clear" w:color="auto" w:fill="CCEEFF"/>
          </w:tcPr>
          <w:p>
            <w:pPr>
              <w:spacing w:after="0"/>
              <w:rPr>
                <w:sz w:val="18"/>
                <w:szCs w:val="18"/>
                <w:color w:val="auto"/>
              </w:rPr>
            </w:pPr>
          </w:p>
        </w:tc>
        <w:tc>
          <w:tcPr>
            <w:tcW w:w="2140" w:type="dxa"/>
            <w:vAlign w:val="bottom"/>
            <w:gridSpan w:val="2"/>
            <w:shd w:val="clear" w:color="auto" w:fill="CCEEFF"/>
          </w:tcPr>
          <w:p>
            <w:pPr>
              <w:jc w:val="center"/>
              <w:ind w:right="620"/>
              <w:spacing w:after="0"/>
              <w:rPr>
                <w:sz w:val="20"/>
                <w:szCs w:val="20"/>
                <w:color w:val="auto"/>
              </w:rPr>
            </w:pPr>
            <w:r>
              <w:rPr>
                <w:rFonts w:ascii="Arial" w:cs="Arial" w:eastAsia="Arial" w:hAnsi="Arial"/>
                <w:sz w:val="18"/>
                <w:szCs w:val="18"/>
                <w:color w:val="auto"/>
                <w:w w:val="91"/>
              </w:rPr>
              <w:t>2020 to 2057</w:t>
            </w:r>
          </w:p>
        </w:tc>
        <w:tc>
          <w:tcPr>
            <w:tcW w:w="3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706,149</w:t>
            </w: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631,599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3160" w:type="dxa"/>
            <w:vAlign w:val="bottom"/>
            <w:gridSpan w:val="2"/>
          </w:tcPr>
          <w:p>
            <w:pPr>
              <w:jc w:val="center"/>
              <w:ind w:right="1740"/>
              <w:spacing w:after="0"/>
              <w:rPr>
                <w:sz w:val="20"/>
                <w:szCs w:val="20"/>
                <w:color w:val="auto"/>
              </w:rPr>
            </w:pPr>
            <w:r>
              <w:rPr>
                <w:rFonts w:ascii="Arial" w:cs="Arial" w:eastAsia="Arial" w:hAnsi="Arial"/>
                <w:sz w:val="18"/>
                <w:szCs w:val="18"/>
                <w:color w:val="auto"/>
                <w:w w:val="95"/>
              </w:rPr>
              <w:t>5.00% to 5.99%</w:t>
            </w:r>
          </w:p>
        </w:tc>
        <w:tc>
          <w:tcPr>
            <w:tcW w:w="80" w:type="dxa"/>
            <w:vAlign w:val="bottom"/>
          </w:tcPr>
          <w:p>
            <w:pPr>
              <w:spacing w:after="0"/>
              <w:rPr>
                <w:sz w:val="18"/>
                <w:szCs w:val="18"/>
                <w:color w:val="auto"/>
              </w:rPr>
            </w:pPr>
          </w:p>
        </w:tc>
        <w:tc>
          <w:tcPr>
            <w:tcW w:w="2140" w:type="dxa"/>
            <w:vAlign w:val="bottom"/>
            <w:gridSpan w:val="2"/>
          </w:tcPr>
          <w:p>
            <w:pPr>
              <w:jc w:val="center"/>
              <w:ind w:right="620"/>
              <w:spacing w:after="0"/>
              <w:rPr>
                <w:sz w:val="20"/>
                <w:szCs w:val="20"/>
                <w:color w:val="auto"/>
              </w:rPr>
            </w:pPr>
            <w:r>
              <w:rPr>
                <w:rFonts w:ascii="Arial" w:cs="Arial" w:eastAsia="Arial" w:hAnsi="Arial"/>
                <w:sz w:val="18"/>
                <w:szCs w:val="18"/>
                <w:color w:val="auto"/>
                <w:w w:val="91"/>
              </w:rPr>
              <w:t>2019 to 2043</w:t>
            </w:r>
          </w:p>
        </w:tc>
        <w:tc>
          <w:tcPr>
            <w:tcW w:w="3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155,518</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205,578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3160" w:type="dxa"/>
            <w:vAlign w:val="bottom"/>
            <w:gridSpan w:val="2"/>
            <w:shd w:val="clear" w:color="auto" w:fill="CCEEFF"/>
          </w:tcPr>
          <w:p>
            <w:pPr>
              <w:jc w:val="center"/>
              <w:ind w:right="1740"/>
              <w:spacing w:after="0"/>
              <w:rPr>
                <w:sz w:val="20"/>
                <w:szCs w:val="20"/>
                <w:color w:val="auto"/>
              </w:rPr>
            </w:pPr>
            <w:r>
              <w:rPr>
                <w:rFonts w:ascii="Arial" w:cs="Arial" w:eastAsia="Arial" w:hAnsi="Arial"/>
                <w:sz w:val="18"/>
                <w:szCs w:val="18"/>
                <w:color w:val="auto"/>
                <w:w w:val="95"/>
              </w:rPr>
              <w:t>6.00% to 6.99%</w:t>
            </w:r>
          </w:p>
        </w:tc>
        <w:tc>
          <w:tcPr>
            <w:tcW w:w="80" w:type="dxa"/>
            <w:vAlign w:val="bottom"/>
            <w:shd w:val="clear" w:color="auto" w:fill="CCEEFF"/>
          </w:tcPr>
          <w:p>
            <w:pPr>
              <w:spacing w:after="0"/>
              <w:rPr>
                <w:sz w:val="18"/>
                <w:szCs w:val="18"/>
                <w:color w:val="auto"/>
              </w:rPr>
            </w:pPr>
          </w:p>
        </w:tc>
        <w:tc>
          <w:tcPr>
            <w:tcW w:w="2140" w:type="dxa"/>
            <w:vAlign w:val="bottom"/>
            <w:gridSpan w:val="2"/>
            <w:shd w:val="clear" w:color="auto" w:fill="CCEEFF"/>
          </w:tcPr>
          <w:p>
            <w:pPr>
              <w:jc w:val="center"/>
              <w:ind w:right="620"/>
              <w:spacing w:after="0"/>
              <w:rPr>
                <w:sz w:val="20"/>
                <w:szCs w:val="20"/>
                <w:color w:val="auto"/>
              </w:rPr>
            </w:pPr>
            <w:r>
              <w:rPr>
                <w:rFonts w:ascii="Arial" w:cs="Arial" w:eastAsia="Arial" w:hAnsi="Arial"/>
                <w:sz w:val="18"/>
                <w:szCs w:val="18"/>
                <w:color w:val="auto"/>
                <w:w w:val="91"/>
              </w:rPr>
              <w:t>2018 to 2036</w:t>
            </w:r>
          </w:p>
        </w:tc>
        <w:tc>
          <w:tcPr>
            <w:tcW w:w="3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44,000</w:t>
            </w: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3160" w:type="dxa"/>
            <w:vAlign w:val="bottom"/>
            <w:gridSpan w:val="2"/>
          </w:tcPr>
          <w:p>
            <w:pPr>
              <w:jc w:val="center"/>
              <w:ind w:right="1740"/>
              <w:spacing w:after="0"/>
              <w:rPr>
                <w:sz w:val="20"/>
                <w:szCs w:val="20"/>
                <w:color w:val="auto"/>
              </w:rPr>
            </w:pPr>
            <w:r>
              <w:rPr>
                <w:rFonts w:ascii="Arial" w:cs="Arial" w:eastAsia="Arial" w:hAnsi="Arial"/>
                <w:sz w:val="18"/>
                <w:szCs w:val="18"/>
                <w:color w:val="auto"/>
                <w:w w:val="95"/>
              </w:rPr>
              <w:t>7.00% to 7.99%</w:t>
            </w:r>
          </w:p>
        </w:tc>
        <w:tc>
          <w:tcPr>
            <w:tcW w:w="80" w:type="dxa"/>
            <w:vAlign w:val="bottom"/>
          </w:tcPr>
          <w:p>
            <w:pPr>
              <w:spacing w:after="0"/>
              <w:rPr>
                <w:sz w:val="18"/>
                <w:szCs w:val="18"/>
                <w:color w:val="auto"/>
              </w:rPr>
            </w:pPr>
          </w:p>
        </w:tc>
        <w:tc>
          <w:tcPr>
            <w:tcW w:w="2140" w:type="dxa"/>
            <w:vAlign w:val="bottom"/>
            <w:gridSpan w:val="2"/>
          </w:tcPr>
          <w:p>
            <w:pPr>
              <w:jc w:val="center"/>
              <w:ind w:right="620"/>
              <w:spacing w:after="0"/>
              <w:rPr>
                <w:sz w:val="20"/>
                <w:szCs w:val="20"/>
                <w:color w:val="auto"/>
              </w:rPr>
            </w:pPr>
            <w:r>
              <w:rPr>
                <w:rFonts w:ascii="Arial" w:cs="Arial" w:eastAsia="Arial" w:hAnsi="Arial"/>
                <w:sz w:val="18"/>
                <w:szCs w:val="18"/>
                <w:color w:val="auto"/>
                <w:w w:val="91"/>
              </w:rPr>
              <w:t>2022 to 2027</w:t>
            </w:r>
          </w:p>
        </w:tc>
        <w:tc>
          <w:tcPr>
            <w:tcW w:w="3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31,761</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32,335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3160" w:type="dxa"/>
            <w:vAlign w:val="bottom"/>
            <w:gridSpan w:val="2"/>
            <w:shd w:val="clear" w:color="auto" w:fill="CCEEFF"/>
          </w:tcPr>
          <w:p>
            <w:pPr>
              <w:jc w:val="center"/>
              <w:ind w:right="1740"/>
              <w:spacing w:after="0"/>
              <w:rPr>
                <w:sz w:val="20"/>
                <w:szCs w:val="20"/>
                <w:color w:val="auto"/>
              </w:rPr>
            </w:pPr>
            <w:r>
              <w:rPr>
                <w:rFonts w:ascii="Arial" w:cs="Arial" w:eastAsia="Arial" w:hAnsi="Arial"/>
                <w:sz w:val="18"/>
                <w:szCs w:val="18"/>
                <w:color w:val="auto"/>
                <w:w w:val="95"/>
              </w:rPr>
              <w:t>8.00% to 8.99%</w:t>
            </w:r>
          </w:p>
        </w:tc>
        <w:tc>
          <w:tcPr>
            <w:tcW w:w="80" w:type="dxa"/>
            <w:vAlign w:val="bottom"/>
            <w:shd w:val="clear" w:color="auto" w:fill="CCEEFF"/>
          </w:tcPr>
          <w:p>
            <w:pPr>
              <w:spacing w:after="0"/>
              <w:rPr>
                <w:sz w:val="18"/>
                <w:szCs w:val="18"/>
                <w:color w:val="auto"/>
              </w:rPr>
            </w:pPr>
          </w:p>
        </w:tc>
        <w:tc>
          <w:tcPr>
            <w:tcW w:w="2140" w:type="dxa"/>
            <w:vAlign w:val="bottom"/>
            <w:gridSpan w:val="2"/>
            <w:shd w:val="clear" w:color="auto" w:fill="CCEEFF"/>
          </w:tcPr>
          <w:p>
            <w:pPr>
              <w:jc w:val="center"/>
              <w:ind w:right="620"/>
              <w:spacing w:after="0"/>
              <w:rPr>
                <w:sz w:val="20"/>
                <w:szCs w:val="20"/>
                <w:color w:val="auto"/>
              </w:rPr>
            </w:pPr>
            <w:r>
              <w:rPr>
                <w:rFonts w:ascii="Arial" w:cs="Arial" w:eastAsia="Arial" w:hAnsi="Arial"/>
                <w:sz w:val="18"/>
                <w:szCs w:val="18"/>
                <w:color w:val="auto"/>
                <w:w w:val="91"/>
              </w:rPr>
              <w:t>2021 to 2025</w:t>
            </w:r>
          </w:p>
        </w:tc>
        <w:tc>
          <w:tcPr>
            <w:tcW w:w="3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5,712</w:t>
            </w: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3160" w:type="dxa"/>
            <w:vAlign w:val="bottom"/>
            <w:gridSpan w:val="2"/>
          </w:tcPr>
          <w:p>
            <w:pPr>
              <w:jc w:val="center"/>
              <w:ind w:right="1740"/>
              <w:spacing w:after="0"/>
              <w:rPr>
                <w:sz w:val="20"/>
                <w:szCs w:val="20"/>
                <w:color w:val="auto"/>
              </w:rPr>
            </w:pPr>
            <w:r>
              <w:rPr>
                <w:rFonts w:ascii="Arial" w:cs="Arial" w:eastAsia="Arial" w:hAnsi="Arial"/>
                <w:sz w:val="18"/>
                <w:szCs w:val="18"/>
                <w:color w:val="auto"/>
                <w:w w:val="95"/>
              </w:rPr>
              <w:t>9.00% to 9.99%</w:t>
            </w:r>
          </w:p>
        </w:tc>
        <w:tc>
          <w:tcPr>
            <w:tcW w:w="80" w:type="dxa"/>
            <w:vAlign w:val="bottom"/>
          </w:tcPr>
          <w:p>
            <w:pPr>
              <w:spacing w:after="0"/>
              <w:rPr>
                <w:sz w:val="18"/>
                <w:szCs w:val="18"/>
                <w:color w:val="auto"/>
              </w:rPr>
            </w:pPr>
          </w:p>
        </w:tc>
        <w:tc>
          <w:tcPr>
            <w:tcW w:w="2140" w:type="dxa"/>
            <w:vAlign w:val="bottom"/>
            <w:gridSpan w:val="2"/>
          </w:tcPr>
          <w:p>
            <w:pPr>
              <w:jc w:val="center"/>
              <w:ind w:right="620"/>
              <w:spacing w:after="0"/>
              <w:rPr>
                <w:sz w:val="20"/>
                <w:szCs w:val="20"/>
                <w:color w:val="auto"/>
              </w:rPr>
            </w:pPr>
            <w:r>
              <w:rPr>
                <w:rFonts w:ascii="Arial" w:cs="Arial" w:eastAsia="Arial" w:hAnsi="Arial"/>
                <w:sz w:val="18"/>
                <w:szCs w:val="18"/>
                <w:color w:val="auto"/>
                <w:w w:val="91"/>
              </w:rPr>
              <w:t>2018 to 2026</w:t>
            </w:r>
          </w:p>
        </w:tc>
        <w:tc>
          <w:tcPr>
            <w:tcW w:w="3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20,000</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25,700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3160" w:type="dxa"/>
            <w:vAlign w:val="bottom"/>
            <w:gridSpan w:val="2"/>
            <w:shd w:val="clear" w:color="auto" w:fill="CCEEFF"/>
          </w:tcPr>
          <w:p>
            <w:pPr>
              <w:jc w:val="center"/>
              <w:ind w:right="1740"/>
              <w:spacing w:after="0"/>
              <w:rPr>
                <w:sz w:val="20"/>
                <w:szCs w:val="20"/>
                <w:color w:val="auto"/>
              </w:rPr>
            </w:pPr>
            <w:r>
              <w:rPr>
                <w:rFonts w:ascii="Arial" w:cs="Arial" w:eastAsia="Arial" w:hAnsi="Arial"/>
                <w:sz w:val="18"/>
                <w:szCs w:val="18"/>
                <w:color w:val="auto"/>
                <w:w w:val="91"/>
              </w:rPr>
              <w:t>10.00% to 10.99%</w:t>
            </w:r>
          </w:p>
        </w:tc>
        <w:tc>
          <w:tcPr>
            <w:tcW w:w="160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89"/>
              </w:rPr>
              <w:t>2018</w:t>
            </w:r>
          </w:p>
        </w:tc>
        <w:tc>
          <w:tcPr>
            <w:tcW w:w="62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6,000</w:t>
            </w:r>
          </w:p>
        </w:tc>
        <w:tc>
          <w:tcPr>
            <w:tcW w:w="16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6,000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1,500,797</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1,462,900</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400" w:type="dxa"/>
            <w:vAlign w:val="bottom"/>
            <w:shd w:val="clear" w:color="auto" w:fill="CCEEFF"/>
          </w:tcPr>
          <w:p>
            <w:pPr>
              <w:spacing w:after="0"/>
              <w:rPr>
                <w:sz w:val="9"/>
                <w:szCs w:val="9"/>
                <w:color w:val="auto"/>
              </w:rPr>
            </w:pPr>
          </w:p>
        </w:tc>
        <w:tc>
          <w:tcPr>
            <w:tcW w:w="1420" w:type="dxa"/>
            <w:vAlign w:val="bottom"/>
            <w:shd w:val="clear" w:color="auto" w:fill="CCEEFF"/>
          </w:tcPr>
          <w:p>
            <w:pPr>
              <w:spacing w:after="0"/>
              <w:rPr>
                <w:sz w:val="9"/>
                <w:szCs w:val="9"/>
                <w:color w:val="auto"/>
              </w:rPr>
            </w:pPr>
          </w:p>
        </w:tc>
        <w:tc>
          <w:tcPr>
            <w:tcW w:w="1820" w:type="dxa"/>
            <w:vAlign w:val="bottom"/>
            <w:gridSpan w:val="2"/>
            <w:shd w:val="clear" w:color="auto" w:fill="CCEEFF"/>
          </w:tcPr>
          <w:p>
            <w:pPr>
              <w:spacing w:after="0"/>
              <w:rPr>
                <w:sz w:val="9"/>
                <w:szCs w:val="9"/>
                <w:color w:val="auto"/>
              </w:rPr>
            </w:pPr>
          </w:p>
        </w:tc>
        <w:tc>
          <w:tcPr>
            <w:tcW w:w="152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102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96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257"/>
        </w:trPr>
        <w:tc>
          <w:tcPr>
            <w:tcW w:w="6800" w:type="dxa"/>
            <w:vAlign w:val="bottom"/>
            <w:gridSpan w:val="7"/>
          </w:tcPr>
          <w:p>
            <w:pPr>
              <w:spacing w:after="0"/>
              <w:rPr>
                <w:sz w:val="20"/>
                <w:szCs w:val="20"/>
                <w:color w:val="auto"/>
              </w:rPr>
            </w:pPr>
            <w:r>
              <w:rPr>
                <w:rFonts w:ascii="Arial" w:cs="Arial" w:eastAsia="Arial" w:hAnsi="Arial"/>
                <w:sz w:val="18"/>
                <w:szCs w:val="18"/>
                <w:color w:val="auto"/>
              </w:rPr>
              <w:t>Notes payable to bank under revolving credit agreement, variable rate, due 2021</w:t>
            </w:r>
          </w:p>
        </w:tc>
        <w:tc>
          <w:tcPr>
            <w:tcW w:w="36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295,000</w:t>
            </w:r>
          </w:p>
        </w:tc>
        <w:tc>
          <w:tcPr>
            <w:tcW w:w="1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Unsecured notes payable:</w:t>
            </w:r>
          </w:p>
        </w:tc>
        <w:tc>
          <w:tcPr>
            <w:tcW w:w="8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gridSpan w:val="3"/>
          </w:tcPr>
          <w:p>
            <w:pPr>
              <w:ind w:left="100"/>
              <w:spacing w:after="0"/>
              <w:rPr>
                <w:sz w:val="20"/>
                <w:szCs w:val="20"/>
                <w:color w:val="auto"/>
              </w:rPr>
            </w:pPr>
            <w:r>
              <w:rPr>
                <w:rFonts w:ascii="Arial" w:cs="Arial" w:eastAsia="Arial" w:hAnsi="Arial"/>
                <w:sz w:val="18"/>
                <w:szCs w:val="18"/>
                <w:color w:val="auto"/>
              </w:rPr>
              <w:t>Bank notes at 2.48% and 3.5% due 2019 and 2020</w:t>
            </w:r>
          </w:p>
        </w:tc>
        <w:tc>
          <w:tcPr>
            <w:tcW w:w="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100,000</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Notes at 3.01% and 3.59% due 2027 and 2041</w:t>
            </w:r>
          </w:p>
        </w:tc>
        <w:tc>
          <w:tcPr>
            <w:tcW w:w="8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245,000</w:t>
            </w: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gridSpan w:val="3"/>
          </w:tcPr>
          <w:p>
            <w:pPr>
              <w:ind w:left="100"/>
              <w:spacing w:after="0"/>
              <w:rPr>
                <w:sz w:val="20"/>
                <w:szCs w:val="20"/>
                <w:color w:val="auto"/>
              </w:rPr>
            </w:pPr>
            <w:r>
              <w:rPr>
                <w:rFonts w:ascii="Arial" w:cs="Arial" w:eastAsia="Arial" w:hAnsi="Arial"/>
                <w:sz w:val="18"/>
                <w:szCs w:val="18"/>
                <w:color w:val="auto"/>
                <w:w w:val="92"/>
              </w:rPr>
              <w:t>Notes ranging from 4.62% to 4.87%, due 2018 through 2024</w:t>
            </w:r>
          </w:p>
        </w:tc>
        <w:tc>
          <w:tcPr>
            <w:tcW w:w="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112,000</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122,800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w w:val="92"/>
              </w:rPr>
              <w:t>Notes ranging from 5.20% to 5.95%, due 2018 through 2037</w:t>
            </w:r>
          </w:p>
        </w:tc>
        <w:tc>
          <w:tcPr>
            <w:tcW w:w="8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142,427</w:t>
            </w:r>
          </w:p>
        </w:tc>
        <w:tc>
          <w:tcPr>
            <w:tcW w:w="16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152,427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60" w:type="dxa"/>
            <w:vAlign w:val="bottom"/>
            <w:gridSpan w:val="3"/>
          </w:tcPr>
          <w:p>
            <w:pPr>
              <w:spacing w:after="0"/>
              <w:rPr>
                <w:sz w:val="20"/>
                <w:szCs w:val="20"/>
                <w:color w:val="auto"/>
              </w:rPr>
            </w:pPr>
            <w:r>
              <w:rPr>
                <w:rFonts w:ascii="Arial" w:cs="Arial" w:eastAsia="Arial" w:hAnsi="Arial"/>
                <w:sz w:val="18"/>
                <w:szCs w:val="18"/>
                <w:color w:val="auto"/>
              </w:rPr>
              <w:t>Total long-term debt</w:t>
            </w:r>
          </w:p>
        </w:tc>
        <w:tc>
          <w:tcPr>
            <w:tcW w:w="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2,395,224</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2,143,127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60" w:type="dxa"/>
            <w:vAlign w:val="bottom"/>
            <w:tcBorders>
              <w:bottom w:val="single" w:sz="8" w:color="CCEEFF"/>
            </w:tcBorders>
            <w:gridSpan w:val="3"/>
          </w:tcPr>
          <w:p>
            <w:pPr>
              <w:spacing w:after="0"/>
              <w:rPr>
                <w:sz w:val="20"/>
                <w:szCs w:val="20"/>
                <w:color w:val="auto"/>
              </w:rPr>
            </w:pPr>
            <w:r>
              <w:rPr>
                <w:rFonts w:ascii="Arial" w:cs="Arial" w:eastAsia="Arial" w:hAnsi="Arial"/>
                <w:sz w:val="18"/>
                <w:szCs w:val="18"/>
                <w:color w:val="auto"/>
              </w:rPr>
              <w:t>Current portion of long-term debt</w:t>
            </w:r>
          </w:p>
        </w:tc>
        <w:tc>
          <w:tcPr>
            <w:tcW w:w="80" w:type="dxa"/>
            <w:vAlign w:val="bottom"/>
            <w:tcBorders>
              <w:bottom w:val="single" w:sz="8" w:color="CCEEFF"/>
            </w:tcBorders>
          </w:tcPr>
          <w:p>
            <w:pPr>
              <w:spacing w:after="0"/>
              <w:rPr>
                <w:sz w:val="18"/>
                <w:szCs w:val="18"/>
                <w:color w:val="auto"/>
              </w:rPr>
            </w:pPr>
          </w:p>
        </w:tc>
        <w:tc>
          <w:tcPr>
            <w:tcW w:w="1520" w:type="dxa"/>
            <w:vAlign w:val="bottom"/>
            <w:tcBorders>
              <w:bottom w:val="single" w:sz="8" w:color="CCEEFF"/>
            </w:tcBorders>
          </w:tcPr>
          <w:p>
            <w:pPr>
              <w:spacing w:after="0"/>
              <w:rPr>
                <w:sz w:val="18"/>
                <w:szCs w:val="18"/>
                <w:color w:val="auto"/>
              </w:rPr>
            </w:pPr>
          </w:p>
        </w:tc>
        <w:tc>
          <w:tcPr>
            <w:tcW w:w="6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108,075</w:t>
            </w:r>
          </w:p>
        </w:tc>
        <w:tc>
          <w:tcPr>
            <w:tcW w:w="16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113,769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Long-term debt, excluding current portion</w:t>
            </w:r>
          </w:p>
        </w:tc>
        <w:tc>
          <w:tcPr>
            <w:tcW w:w="8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2,287,149</w:t>
            </w: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2,029,358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Borders>
              <w:bottom w:val="single" w:sz="8" w:color="CCEEFF"/>
            </w:tcBorders>
            <w:gridSpan w:val="3"/>
          </w:tcPr>
          <w:p>
            <w:pPr>
              <w:spacing w:after="0"/>
              <w:rPr>
                <w:sz w:val="20"/>
                <w:szCs w:val="20"/>
                <w:color w:val="auto"/>
              </w:rPr>
            </w:pPr>
            <w:r>
              <w:rPr>
                <w:rFonts w:ascii="Arial" w:cs="Arial" w:eastAsia="Arial" w:hAnsi="Arial"/>
                <w:sz w:val="18"/>
                <w:szCs w:val="18"/>
                <w:color w:val="auto"/>
              </w:rPr>
              <w:t>Less: debt issuance costs</w:t>
            </w:r>
          </w:p>
        </w:tc>
        <w:tc>
          <w:tcPr>
            <w:tcW w:w="80" w:type="dxa"/>
            <w:vAlign w:val="bottom"/>
            <w:tcBorders>
              <w:bottom w:val="single" w:sz="8" w:color="CCEEFF"/>
            </w:tcBorders>
          </w:tcPr>
          <w:p>
            <w:pPr>
              <w:spacing w:after="0"/>
              <w:rPr>
                <w:sz w:val="18"/>
                <w:szCs w:val="18"/>
                <w:color w:val="auto"/>
              </w:rPr>
            </w:pPr>
          </w:p>
        </w:tc>
        <w:tc>
          <w:tcPr>
            <w:tcW w:w="1520" w:type="dxa"/>
            <w:vAlign w:val="bottom"/>
            <w:tcBorders>
              <w:bottom w:val="single" w:sz="8" w:color="CCEEFF"/>
            </w:tcBorders>
          </w:tcPr>
          <w:p>
            <w:pPr>
              <w:spacing w:after="0"/>
              <w:rPr>
                <w:sz w:val="18"/>
                <w:szCs w:val="18"/>
                <w:color w:val="auto"/>
              </w:rPr>
            </w:pPr>
          </w:p>
        </w:tc>
        <w:tc>
          <w:tcPr>
            <w:tcW w:w="6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20,689</w:t>
            </w:r>
          </w:p>
        </w:tc>
        <w:tc>
          <w:tcPr>
            <w:tcW w:w="16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21,605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780" w:type="dxa"/>
            <w:vAlign w:val="bottom"/>
            <w:gridSpan w:val="6"/>
            <w:shd w:val="clear" w:color="auto" w:fill="CCEEFF"/>
          </w:tcPr>
          <w:p>
            <w:pPr>
              <w:spacing w:after="0"/>
              <w:rPr>
                <w:sz w:val="20"/>
                <w:szCs w:val="20"/>
                <w:color w:val="auto"/>
              </w:rPr>
            </w:pPr>
            <w:r>
              <w:rPr>
                <w:rFonts w:ascii="Arial" w:cs="Arial" w:eastAsia="Arial" w:hAnsi="Arial"/>
                <w:sz w:val="18"/>
                <w:szCs w:val="18"/>
                <w:color w:val="auto"/>
              </w:rPr>
              <w:t>Long-term debt, excluding current portion, net of debt issuance costs</w:t>
            </w:r>
          </w:p>
        </w:tc>
        <w:tc>
          <w:tcPr>
            <w:tcW w:w="36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2,266,460</w:t>
            </w:r>
          </w:p>
        </w:tc>
        <w:tc>
          <w:tcPr>
            <w:tcW w:w="16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2,007,753</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400" w:type="dxa"/>
            <w:vAlign w:val="bottom"/>
            <w:tcBorders>
              <w:bottom w:val="single" w:sz="8" w:color="CCEEFF"/>
            </w:tcBorders>
          </w:tcPr>
          <w:p>
            <w:pPr>
              <w:spacing w:after="0"/>
              <w:rPr>
                <w:sz w:val="17"/>
                <w:szCs w:val="17"/>
                <w:color w:val="auto"/>
              </w:rPr>
            </w:pPr>
          </w:p>
        </w:tc>
        <w:tc>
          <w:tcPr>
            <w:tcW w:w="1420" w:type="dxa"/>
            <w:vAlign w:val="bottom"/>
            <w:tcBorders>
              <w:bottom w:val="single" w:sz="8" w:color="CCEEFF"/>
            </w:tcBorders>
          </w:tcPr>
          <w:p>
            <w:pPr>
              <w:spacing w:after="0"/>
              <w:rPr>
                <w:sz w:val="17"/>
                <w:szCs w:val="17"/>
                <w:color w:val="auto"/>
              </w:rPr>
            </w:pPr>
          </w:p>
        </w:tc>
        <w:tc>
          <w:tcPr>
            <w:tcW w:w="174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520" w:type="dxa"/>
            <w:vAlign w:val="bottom"/>
            <w:tcBorders>
              <w:bottom w:val="single" w:sz="8" w:color="CCEEFF"/>
            </w:tcBorders>
          </w:tcPr>
          <w:p>
            <w:pPr>
              <w:spacing w:after="0"/>
              <w:rPr>
                <w:sz w:val="17"/>
                <w:szCs w:val="17"/>
                <w:color w:val="auto"/>
              </w:rPr>
            </w:pPr>
          </w:p>
        </w:tc>
        <w:tc>
          <w:tcPr>
            <w:tcW w:w="62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5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Total capitalization</w:t>
            </w:r>
          </w:p>
        </w:tc>
        <w:tc>
          <w:tcPr>
            <w:tcW w:w="80" w:type="dxa"/>
            <w:vAlign w:val="bottom"/>
            <w:tcBorders>
              <w:bottom w:val="single" w:sz="8" w:color="CCEEFF"/>
            </w:tcBorders>
            <w:shd w:val="clear" w:color="auto" w:fill="CCEEFF"/>
          </w:tcPr>
          <w:p>
            <w:pPr>
              <w:spacing w:after="0"/>
              <w:rPr>
                <w:sz w:val="18"/>
                <w:szCs w:val="18"/>
                <w:color w:val="auto"/>
              </w:rPr>
            </w:pPr>
          </w:p>
        </w:tc>
        <w:tc>
          <w:tcPr>
            <w:tcW w:w="1520" w:type="dxa"/>
            <w:vAlign w:val="bottom"/>
            <w:tcBorders>
              <w:bottom w:val="single" w:sz="8" w:color="CCEEFF"/>
            </w:tcBorders>
            <w:shd w:val="clear" w:color="auto" w:fill="CCEEFF"/>
          </w:tcPr>
          <w:p>
            <w:pPr>
              <w:spacing w:after="0"/>
              <w:rPr>
                <w:sz w:val="18"/>
                <w:szCs w:val="18"/>
                <w:color w:val="auto"/>
              </w:rPr>
            </w:pPr>
          </w:p>
        </w:tc>
        <w:tc>
          <w:tcPr>
            <w:tcW w:w="62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4,312,198</w:t>
            </w:r>
          </w:p>
        </w:tc>
        <w:tc>
          <w:tcPr>
            <w:tcW w:w="16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3,965,374</w:t>
            </w:r>
          </w:p>
        </w:tc>
        <w:tc>
          <w:tcPr>
            <w:tcW w:w="0" w:type="dxa"/>
            <w:vAlign w:val="bottom"/>
          </w:tcPr>
          <w:p>
            <w:pPr>
              <w:spacing w:after="0"/>
              <w:rPr>
                <w:sz w:val="1"/>
                <w:szCs w:val="1"/>
                <w:color w:val="auto"/>
              </w:rPr>
            </w:pPr>
          </w:p>
        </w:tc>
      </w:tr>
    </w:tbl>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See notes to consolidated financial statements beginning on page 9 of this report.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220"/>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-89535</wp:posOffset>
            </wp:positionH>
            <wp:positionV relativeFrom="paragraph">
              <wp:posOffset>63500</wp:posOffset>
            </wp:positionV>
            <wp:extent cx="6182995" cy="514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182995" cy="51435"/>
                    </a:xfrm>
                    <a:prstGeom prst="rect">
                      <a:avLst/>
                    </a:prstGeom>
                    <a:noFill/>
                  </pic:spPr>
                </pic:pic>
              </a:graphicData>
            </a:graphic>
          </wp:anchor>
        </w:drawing>
      </w:r>
    </w:p>
    <w:p>
      <w:pPr>
        <w:sectPr>
          <w:pgSz w:w="11900" w:h="16838" w:orient="portrait"/>
          <w:cols w:equalWidth="0" w:num="1">
            <w:col w:w="9640"/>
          </w:cols>
          <w:pgMar w:left="1140" w:top="118" w:right="1119" w:bottom="1440" w:gutter="0" w:footer="0" w:header="0"/>
        </w:sectPr>
      </w:pPr>
    </w:p>
    <w:bookmarkStart w:id="8" w:name="page9"/>
    <w:bookmarkEnd w:id="8"/>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9" w:lineRule="exact"/>
        <w:rPr>
          <w:sz w:val="20"/>
          <w:szCs w:val="20"/>
          <w:color w:val="auto"/>
        </w:rPr>
      </w:pPr>
    </w:p>
    <w:p>
      <w:pPr>
        <w:ind w:left="2680"/>
        <w:spacing w:after="0"/>
        <w:rPr>
          <w:sz w:val="20"/>
          <w:szCs w:val="20"/>
          <w:color w:val="auto"/>
        </w:rPr>
      </w:pPr>
      <w:r>
        <w:rPr>
          <w:rFonts w:ascii="Arial" w:cs="Arial" w:eastAsia="Arial" w:hAnsi="Arial"/>
          <w:sz w:val="22"/>
          <w:szCs w:val="22"/>
          <w:color w:val="auto"/>
        </w:rPr>
        <w:t>AQUA AMERICA, INC. AND SUBSIDIARIES</w:t>
      </w:r>
    </w:p>
    <w:p>
      <w:pPr>
        <w:spacing w:after="0" w:line="102" w:lineRule="exact"/>
        <w:rPr>
          <w:sz w:val="20"/>
          <w:szCs w:val="20"/>
          <w:color w:val="auto"/>
        </w:rPr>
      </w:pPr>
    </w:p>
    <w:p>
      <w:pPr>
        <w:ind w:left="2740"/>
        <w:spacing w:after="0"/>
        <w:rPr>
          <w:sz w:val="20"/>
          <w:szCs w:val="20"/>
          <w:color w:val="auto"/>
        </w:rPr>
      </w:pPr>
      <w:r>
        <w:rPr>
          <w:rFonts w:ascii="Arial" w:cs="Arial" w:eastAsia="Arial" w:hAnsi="Arial"/>
          <w:sz w:val="22"/>
          <w:szCs w:val="22"/>
          <w:color w:val="auto"/>
        </w:rPr>
        <w:t>CONSOLIDATED STATEMENT OF EQUITY</w:t>
      </w:r>
    </w:p>
    <w:p>
      <w:pPr>
        <w:jc w:val="center"/>
        <w:ind w:right="-19"/>
        <w:spacing w:after="0" w:line="192" w:lineRule="auto"/>
        <w:rPr>
          <w:sz w:val="20"/>
          <w:szCs w:val="20"/>
          <w:color w:val="auto"/>
        </w:rPr>
      </w:pPr>
      <w:r>
        <w:rPr>
          <w:rFonts w:ascii="Arial" w:cs="Arial" w:eastAsia="Arial" w:hAnsi="Arial"/>
          <w:sz w:val="22"/>
          <w:szCs w:val="22"/>
          <w:color w:val="auto"/>
        </w:rPr>
        <w:t>(In thousands of dollars)</w:t>
      </w:r>
    </w:p>
    <w:p>
      <w:pPr>
        <w:jc w:val="center"/>
        <w:spacing w:after="0"/>
        <w:rPr>
          <w:sz w:val="20"/>
          <w:szCs w:val="20"/>
          <w:color w:val="auto"/>
        </w:rPr>
      </w:pPr>
      <w:r>
        <w:rPr>
          <w:rFonts w:ascii="Arial" w:cs="Arial" w:eastAsia="Arial" w:hAnsi="Arial"/>
          <w:sz w:val="22"/>
          <w:szCs w:val="22"/>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34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80" w:type="dxa"/>
            <w:vAlign w:val="bottom"/>
            <w:gridSpan w:val="3"/>
          </w:tcPr>
          <w:p>
            <w:pPr>
              <w:jc w:val="center"/>
              <w:ind w:right="40"/>
              <w:spacing w:after="0"/>
              <w:rPr>
                <w:sz w:val="20"/>
                <w:szCs w:val="20"/>
                <w:color w:val="auto"/>
              </w:rPr>
            </w:pPr>
            <w:r>
              <w:rPr>
                <w:rFonts w:ascii="Arial" w:cs="Arial" w:eastAsia="Arial" w:hAnsi="Arial"/>
                <w:sz w:val="20"/>
                <w:szCs w:val="20"/>
                <w:color w:val="auto"/>
                <w:w w:val="89"/>
              </w:rPr>
              <w:t>Accumulated</w:t>
            </w:r>
          </w:p>
        </w:tc>
        <w:tc>
          <w:tcPr>
            <w:tcW w:w="980" w:type="dxa"/>
            <w:vAlign w:val="bottom"/>
          </w:tcPr>
          <w:p>
            <w:pPr>
              <w:spacing w:after="0"/>
              <w:rPr>
                <w:sz w:val="21"/>
                <w:szCs w:val="21"/>
                <w:color w:val="auto"/>
              </w:rPr>
            </w:pPr>
          </w:p>
        </w:tc>
      </w:tr>
      <w:tr>
        <w:trPr>
          <w:trHeight w:val="243"/>
        </w:trPr>
        <w:tc>
          <w:tcPr>
            <w:tcW w:w="34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960" w:type="dxa"/>
            <w:vAlign w:val="bottom"/>
            <w:gridSpan w:val="3"/>
          </w:tcPr>
          <w:p>
            <w:pPr>
              <w:jc w:val="right"/>
              <w:ind w:right="120"/>
              <w:spacing w:after="0"/>
              <w:rPr>
                <w:sz w:val="20"/>
                <w:szCs w:val="20"/>
                <w:color w:val="auto"/>
              </w:rPr>
            </w:pPr>
            <w:r>
              <w:rPr>
                <w:rFonts w:ascii="Arial" w:cs="Arial" w:eastAsia="Arial" w:hAnsi="Arial"/>
                <w:sz w:val="20"/>
                <w:szCs w:val="20"/>
                <w:color w:val="auto"/>
                <w:w w:val="98"/>
              </w:rPr>
              <w:t>Capital in</w:t>
            </w:r>
          </w:p>
        </w:tc>
        <w:tc>
          <w:tcPr>
            <w:tcW w:w="9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60" w:type="dxa"/>
            <w:vAlign w:val="bottom"/>
            <w:gridSpan w:val="2"/>
          </w:tcPr>
          <w:p>
            <w:pPr>
              <w:jc w:val="center"/>
              <w:ind w:right="260"/>
              <w:spacing w:after="0"/>
              <w:rPr>
                <w:sz w:val="20"/>
                <w:szCs w:val="20"/>
                <w:color w:val="auto"/>
              </w:rPr>
            </w:pPr>
            <w:r>
              <w:rPr>
                <w:rFonts w:ascii="Arial" w:cs="Arial" w:eastAsia="Arial" w:hAnsi="Arial"/>
                <w:sz w:val="20"/>
                <w:szCs w:val="20"/>
                <w:color w:val="auto"/>
                <w:w w:val="87"/>
              </w:rPr>
              <w:t>Other</w:t>
            </w:r>
          </w:p>
        </w:tc>
        <w:tc>
          <w:tcPr>
            <w:tcW w:w="980" w:type="dxa"/>
            <w:vAlign w:val="bottom"/>
          </w:tcPr>
          <w:p>
            <w:pPr>
              <w:spacing w:after="0"/>
              <w:rPr>
                <w:sz w:val="21"/>
                <w:szCs w:val="21"/>
                <w:color w:val="auto"/>
              </w:rPr>
            </w:pPr>
          </w:p>
        </w:tc>
      </w:tr>
      <w:tr>
        <w:trPr>
          <w:trHeight w:val="243"/>
        </w:trPr>
        <w:tc>
          <w:tcPr>
            <w:tcW w:w="3480" w:type="dxa"/>
            <w:vAlign w:val="bottom"/>
          </w:tcPr>
          <w:p>
            <w:pPr>
              <w:spacing w:after="0"/>
              <w:rPr>
                <w:sz w:val="21"/>
                <w:szCs w:val="21"/>
                <w:color w:val="auto"/>
              </w:rPr>
            </w:pPr>
          </w:p>
        </w:tc>
        <w:tc>
          <w:tcPr>
            <w:tcW w:w="980" w:type="dxa"/>
            <w:vAlign w:val="bottom"/>
            <w:gridSpan w:val="3"/>
          </w:tcPr>
          <w:p>
            <w:pPr>
              <w:jc w:val="right"/>
              <w:ind w:right="140"/>
              <w:spacing w:after="0"/>
              <w:rPr>
                <w:sz w:val="20"/>
                <w:szCs w:val="20"/>
                <w:color w:val="auto"/>
              </w:rPr>
            </w:pPr>
            <w:r>
              <w:rPr>
                <w:rFonts w:ascii="Arial" w:cs="Arial" w:eastAsia="Arial" w:hAnsi="Arial"/>
                <w:sz w:val="20"/>
                <w:szCs w:val="20"/>
                <w:color w:val="auto"/>
              </w:rPr>
              <w:t>Common</w:t>
            </w:r>
          </w:p>
        </w:tc>
        <w:tc>
          <w:tcPr>
            <w:tcW w:w="960" w:type="dxa"/>
            <w:vAlign w:val="bottom"/>
            <w:gridSpan w:val="3"/>
          </w:tcPr>
          <w:p>
            <w:pPr>
              <w:jc w:val="right"/>
              <w:ind w:right="120"/>
              <w:spacing w:after="0"/>
              <w:rPr>
                <w:sz w:val="20"/>
                <w:szCs w:val="20"/>
                <w:color w:val="auto"/>
              </w:rPr>
            </w:pPr>
            <w:r>
              <w:rPr>
                <w:rFonts w:ascii="Arial" w:cs="Arial" w:eastAsia="Arial" w:hAnsi="Arial"/>
                <w:sz w:val="20"/>
                <w:szCs w:val="20"/>
                <w:color w:val="auto"/>
                <w:w w:val="94"/>
              </w:rPr>
              <w:t>Excess of</w:t>
            </w:r>
          </w:p>
        </w:tc>
        <w:tc>
          <w:tcPr>
            <w:tcW w:w="1020" w:type="dxa"/>
            <w:vAlign w:val="bottom"/>
            <w:gridSpan w:val="2"/>
          </w:tcPr>
          <w:p>
            <w:pPr>
              <w:jc w:val="right"/>
              <w:ind w:right="180"/>
              <w:spacing w:after="0"/>
              <w:rPr>
                <w:sz w:val="20"/>
                <w:szCs w:val="20"/>
                <w:color w:val="auto"/>
              </w:rPr>
            </w:pPr>
            <w:r>
              <w:rPr>
                <w:rFonts w:ascii="Arial" w:cs="Arial" w:eastAsia="Arial" w:hAnsi="Arial"/>
                <w:sz w:val="20"/>
                <w:szCs w:val="20"/>
                <w:color w:val="auto"/>
              </w:rPr>
              <w:t>Retained</w:t>
            </w:r>
          </w:p>
        </w:tc>
        <w:tc>
          <w:tcPr>
            <w:tcW w:w="960" w:type="dxa"/>
            <w:vAlign w:val="bottom"/>
            <w:gridSpan w:val="3"/>
          </w:tcPr>
          <w:p>
            <w:pPr>
              <w:jc w:val="right"/>
              <w:ind w:right="160"/>
              <w:spacing w:after="0"/>
              <w:rPr>
                <w:sz w:val="20"/>
                <w:szCs w:val="20"/>
                <w:color w:val="auto"/>
              </w:rPr>
            </w:pPr>
            <w:r>
              <w:rPr>
                <w:rFonts w:ascii="Arial" w:cs="Arial" w:eastAsia="Arial" w:hAnsi="Arial"/>
                <w:sz w:val="20"/>
                <w:szCs w:val="20"/>
                <w:color w:val="auto"/>
                <w:w w:val="98"/>
              </w:rPr>
              <w:t>Treasury</w:t>
            </w:r>
          </w:p>
        </w:tc>
        <w:tc>
          <w:tcPr>
            <w:tcW w:w="1280" w:type="dxa"/>
            <w:vAlign w:val="bottom"/>
            <w:gridSpan w:val="3"/>
          </w:tcPr>
          <w:p>
            <w:pPr>
              <w:jc w:val="center"/>
              <w:ind w:right="40"/>
              <w:spacing w:after="0"/>
              <w:rPr>
                <w:sz w:val="20"/>
                <w:szCs w:val="20"/>
                <w:color w:val="auto"/>
              </w:rPr>
            </w:pPr>
            <w:r>
              <w:rPr>
                <w:rFonts w:ascii="Arial" w:cs="Arial" w:eastAsia="Arial" w:hAnsi="Arial"/>
                <w:sz w:val="20"/>
                <w:szCs w:val="20"/>
                <w:color w:val="auto"/>
                <w:w w:val="88"/>
              </w:rPr>
              <w:t>Comprehensive</w:t>
            </w:r>
          </w:p>
        </w:tc>
        <w:tc>
          <w:tcPr>
            <w:tcW w:w="980" w:type="dxa"/>
            <w:vAlign w:val="bottom"/>
          </w:tcPr>
          <w:p>
            <w:pPr>
              <w:spacing w:after="0"/>
              <w:rPr>
                <w:sz w:val="21"/>
                <w:szCs w:val="21"/>
                <w:color w:val="auto"/>
              </w:rPr>
            </w:pPr>
          </w:p>
        </w:tc>
      </w:tr>
      <w:tr>
        <w:trPr>
          <w:trHeight w:val="246"/>
        </w:trPr>
        <w:tc>
          <w:tcPr>
            <w:tcW w:w="34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80" w:type="dxa"/>
            <w:vAlign w:val="bottom"/>
            <w:gridSpan w:val="2"/>
          </w:tcPr>
          <w:p>
            <w:pPr>
              <w:jc w:val="right"/>
              <w:ind w:right="280"/>
              <w:spacing w:after="0"/>
              <w:rPr>
                <w:sz w:val="20"/>
                <w:szCs w:val="20"/>
                <w:color w:val="auto"/>
              </w:rPr>
            </w:pPr>
            <w:r>
              <w:rPr>
                <w:rFonts w:ascii="Arial" w:cs="Arial" w:eastAsia="Arial" w:hAnsi="Arial"/>
                <w:sz w:val="20"/>
                <w:szCs w:val="20"/>
                <w:color w:val="auto"/>
                <w:w w:val="95"/>
              </w:rPr>
              <w:t>Stock</w:t>
            </w:r>
          </w:p>
        </w:tc>
        <w:tc>
          <w:tcPr>
            <w:tcW w:w="960" w:type="dxa"/>
            <w:vAlign w:val="bottom"/>
            <w:gridSpan w:val="3"/>
          </w:tcPr>
          <w:p>
            <w:pPr>
              <w:jc w:val="right"/>
              <w:ind w:right="120"/>
              <w:spacing w:after="0"/>
              <w:rPr>
                <w:sz w:val="20"/>
                <w:szCs w:val="20"/>
                <w:color w:val="auto"/>
              </w:rPr>
            </w:pPr>
            <w:r>
              <w:rPr>
                <w:rFonts w:ascii="Arial" w:cs="Arial" w:eastAsia="Arial" w:hAnsi="Arial"/>
                <w:sz w:val="20"/>
                <w:szCs w:val="20"/>
                <w:color w:val="auto"/>
                <w:w w:val="93"/>
              </w:rPr>
              <w:t>Par Value</w:t>
            </w:r>
          </w:p>
        </w:tc>
        <w:tc>
          <w:tcPr>
            <w:tcW w:w="1020" w:type="dxa"/>
            <w:vAlign w:val="bottom"/>
            <w:gridSpan w:val="2"/>
          </w:tcPr>
          <w:p>
            <w:pPr>
              <w:jc w:val="right"/>
              <w:ind w:right="180"/>
              <w:spacing w:after="0"/>
              <w:rPr>
                <w:sz w:val="20"/>
                <w:szCs w:val="20"/>
                <w:color w:val="auto"/>
              </w:rPr>
            </w:pPr>
            <w:r>
              <w:rPr>
                <w:rFonts w:ascii="Arial" w:cs="Arial" w:eastAsia="Arial" w:hAnsi="Arial"/>
                <w:sz w:val="20"/>
                <w:szCs w:val="20"/>
                <w:color w:val="auto"/>
              </w:rPr>
              <w:t>Earnings</w:t>
            </w:r>
          </w:p>
        </w:tc>
        <w:tc>
          <w:tcPr>
            <w:tcW w:w="180" w:type="dxa"/>
            <w:vAlign w:val="bottom"/>
          </w:tcPr>
          <w:p>
            <w:pPr>
              <w:spacing w:after="0"/>
              <w:rPr>
                <w:sz w:val="21"/>
                <w:szCs w:val="21"/>
                <w:color w:val="auto"/>
              </w:rPr>
            </w:pPr>
          </w:p>
        </w:tc>
        <w:tc>
          <w:tcPr>
            <w:tcW w:w="780" w:type="dxa"/>
            <w:vAlign w:val="bottom"/>
            <w:gridSpan w:val="2"/>
          </w:tcPr>
          <w:p>
            <w:pPr>
              <w:jc w:val="right"/>
              <w:ind w:right="280"/>
              <w:spacing w:after="0"/>
              <w:rPr>
                <w:sz w:val="20"/>
                <w:szCs w:val="20"/>
                <w:color w:val="auto"/>
              </w:rPr>
            </w:pPr>
            <w:r>
              <w:rPr>
                <w:rFonts w:ascii="Arial" w:cs="Arial" w:eastAsia="Arial" w:hAnsi="Arial"/>
                <w:sz w:val="20"/>
                <w:szCs w:val="20"/>
                <w:color w:val="auto"/>
                <w:w w:val="95"/>
              </w:rPr>
              <w:t>Stock</w:t>
            </w:r>
          </w:p>
        </w:tc>
        <w:tc>
          <w:tcPr>
            <w:tcW w:w="220" w:type="dxa"/>
            <w:vAlign w:val="bottom"/>
          </w:tcPr>
          <w:p>
            <w:pPr>
              <w:spacing w:after="0"/>
              <w:rPr>
                <w:sz w:val="21"/>
                <w:szCs w:val="21"/>
                <w:color w:val="auto"/>
              </w:rPr>
            </w:pPr>
          </w:p>
        </w:tc>
        <w:tc>
          <w:tcPr>
            <w:tcW w:w="1060" w:type="dxa"/>
            <w:vAlign w:val="bottom"/>
            <w:gridSpan w:val="2"/>
          </w:tcPr>
          <w:p>
            <w:pPr>
              <w:jc w:val="center"/>
              <w:ind w:right="260"/>
              <w:spacing w:after="0"/>
              <w:rPr>
                <w:sz w:val="20"/>
                <w:szCs w:val="20"/>
                <w:color w:val="auto"/>
              </w:rPr>
            </w:pPr>
            <w:r>
              <w:rPr>
                <w:rFonts w:ascii="Arial" w:cs="Arial" w:eastAsia="Arial" w:hAnsi="Arial"/>
                <w:sz w:val="20"/>
                <w:szCs w:val="20"/>
                <w:color w:val="auto"/>
                <w:w w:val="91"/>
              </w:rPr>
              <w:t>Income</w:t>
            </w:r>
          </w:p>
        </w:tc>
        <w:tc>
          <w:tcPr>
            <w:tcW w:w="980" w:type="dxa"/>
            <w:vAlign w:val="bottom"/>
          </w:tcPr>
          <w:p>
            <w:pPr>
              <w:jc w:val="right"/>
              <w:ind w:right="181"/>
              <w:spacing w:after="0"/>
              <w:rPr>
                <w:sz w:val="20"/>
                <w:szCs w:val="20"/>
                <w:color w:val="auto"/>
              </w:rPr>
            </w:pPr>
            <w:r>
              <w:rPr>
                <w:rFonts w:ascii="Arial" w:cs="Arial" w:eastAsia="Arial" w:hAnsi="Arial"/>
                <w:sz w:val="20"/>
                <w:szCs w:val="20"/>
                <w:color w:val="auto"/>
              </w:rPr>
              <w:t>Total</w:t>
            </w:r>
          </w:p>
        </w:tc>
      </w:tr>
      <w:tr>
        <w:trPr>
          <w:trHeight w:val="223"/>
        </w:trPr>
        <w:tc>
          <w:tcPr>
            <w:tcW w:w="3480" w:type="dxa"/>
            <w:vAlign w:val="bottom"/>
            <w:tcBorders>
              <w:top w:val="single" w:sz="8" w:color="CCEEFF"/>
            </w:tcBorders>
            <w:shd w:val="clear" w:color="auto" w:fill="CCEEFF"/>
          </w:tcPr>
          <w:p>
            <w:pPr>
              <w:spacing w:after="0" w:line="223" w:lineRule="exact"/>
              <w:rPr>
                <w:sz w:val="20"/>
                <w:szCs w:val="20"/>
                <w:color w:val="auto"/>
              </w:rPr>
            </w:pPr>
            <w:r>
              <w:rPr>
                <w:rFonts w:ascii="Arial" w:cs="Arial" w:eastAsia="Arial" w:hAnsi="Arial"/>
                <w:sz w:val="20"/>
                <w:szCs w:val="20"/>
                <w:color w:val="auto"/>
              </w:rPr>
              <w:t>Balance at December 31, 2017</w:t>
            </w:r>
          </w:p>
        </w:tc>
        <w:tc>
          <w:tcPr>
            <w:tcW w:w="200" w:type="dxa"/>
            <w:vAlign w:val="bottom"/>
            <w:tcBorders>
              <w:top w:val="single" w:sz="8" w:color="auto"/>
            </w:tcBorders>
            <w:shd w:val="clear" w:color="auto" w:fill="CCEEFF"/>
          </w:tcPr>
          <w:p>
            <w:pPr>
              <w:jc w:val="right"/>
              <w:spacing w:after="0" w:line="223" w:lineRule="exact"/>
              <w:rPr>
                <w:sz w:val="20"/>
                <w:szCs w:val="20"/>
                <w:color w:val="auto"/>
              </w:rPr>
            </w:pPr>
            <w:r>
              <w:rPr>
                <w:rFonts w:ascii="Arial" w:cs="Arial" w:eastAsia="Arial" w:hAnsi="Arial"/>
                <w:sz w:val="20"/>
                <w:szCs w:val="20"/>
                <w:color w:val="auto"/>
              </w:rPr>
              <w:t>$</w:t>
            </w:r>
          </w:p>
        </w:tc>
        <w:tc>
          <w:tcPr>
            <w:tcW w:w="720" w:type="dxa"/>
            <w:vAlign w:val="bottom"/>
            <w:tcBorders>
              <w:top w:val="single" w:sz="8" w:color="auto"/>
            </w:tcBorders>
            <w:shd w:val="clear" w:color="auto" w:fill="CCEEFF"/>
          </w:tcPr>
          <w:p>
            <w:pPr>
              <w:jc w:val="right"/>
              <w:spacing w:after="0" w:line="223" w:lineRule="exact"/>
              <w:rPr>
                <w:sz w:val="20"/>
                <w:szCs w:val="20"/>
                <w:color w:val="auto"/>
              </w:rPr>
            </w:pPr>
            <w:r>
              <w:rPr>
                <w:rFonts w:ascii="Arial" w:cs="Arial" w:eastAsia="Arial" w:hAnsi="Arial"/>
                <w:sz w:val="20"/>
                <w:szCs w:val="20"/>
                <w:color w:val="auto"/>
              </w:rPr>
              <w:t>90,350</w:t>
            </w:r>
          </w:p>
        </w:tc>
        <w:tc>
          <w:tcPr>
            <w:tcW w:w="6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line="223" w:lineRule="exact"/>
              <w:rPr>
                <w:sz w:val="20"/>
                <w:szCs w:val="20"/>
                <w:color w:val="auto"/>
              </w:rPr>
            </w:pPr>
            <w:r>
              <w:rPr>
                <w:rFonts w:ascii="Arial" w:cs="Arial" w:eastAsia="Arial" w:hAnsi="Arial"/>
                <w:sz w:val="20"/>
                <w:szCs w:val="20"/>
                <w:color w:val="auto"/>
                <w:w w:val="89"/>
              </w:rPr>
              <w:t>$</w:t>
            </w:r>
          </w:p>
        </w:tc>
        <w:tc>
          <w:tcPr>
            <w:tcW w:w="740" w:type="dxa"/>
            <w:vAlign w:val="bottom"/>
            <w:tcBorders>
              <w:top w:val="single" w:sz="8" w:color="auto"/>
            </w:tcBorders>
            <w:shd w:val="clear" w:color="auto" w:fill="CCEEFF"/>
          </w:tcPr>
          <w:p>
            <w:pPr>
              <w:jc w:val="right"/>
              <w:spacing w:after="0" w:line="223" w:lineRule="exact"/>
              <w:rPr>
                <w:sz w:val="20"/>
                <w:szCs w:val="20"/>
                <w:color w:val="auto"/>
              </w:rPr>
            </w:pPr>
            <w:r>
              <w:rPr>
                <w:rFonts w:ascii="Arial" w:cs="Arial" w:eastAsia="Arial" w:hAnsi="Arial"/>
                <w:sz w:val="20"/>
                <w:szCs w:val="20"/>
                <w:color w:val="auto"/>
                <w:w w:val="94"/>
              </w:rPr>
              <w:t>807,135</w:t>
            </w:r>
          </w:p>
        </w:tc>
        <w:tc>
          <w:tcPr>
            <w:tcW w:w="60" w:type="dxa"/>
            <w:vAlign w:val="bottom"/>
            <w:tcBorders>
              <w:top w:val="single" w:sz="8" w:color="CCEEFF"/>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jc w:val="right"/>
              <w:spacing w:after="0" w:line="223" w:lineRule="exact"/>
              <w:rPr>
                <w:sz w:val="20"/>
                <w:szCs w:val="20"/>
                <w:color w:val="auto"/>
              </w:rPr>
            </w:pPr>
            <w:r>
              <w:rPr>
                <w:rFonts w:ascii="Arial" w:cs="Arial" w:eastAsia="Arial" w:hAnsi="Arial"/>
                <w:sz w:val="20"/>
                <w:szCs w:val="20"/>
                <w:color w:val="auto"/>
                <w:w w:val="89"/>
              </w:rPr>
              <w:t>$1,132,556</w:t>
            </w:r>
          </w:p>
        </w:tc>
        <w:tc>
          <w:tcPr>
            <w:tcW w:w="6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line="223" w:lineRule="exact"/>
              <w:rPr>
                <w:sz w:val="20"/>
                <w:szCs w:val="20"/>
                <w:color w:val="auto"/>
              </w:rPr>
            </w:pPr>
            <w:r>
              <w:rPr>
                <w:rFonts w:ascii="Arial" w:cs="Arial" w:eastAsia="Arial" w:hAnsi="Arial"/>
                <w:sz w:val="20"/>
                <w:szCs w:val="20"/>
                <w:color w:val="auto"/>
                <w:w w:val="89"/>
              </w:rPr>
              <w:t>$</w:t>
            </w:r>
          </w:p>
        </w:tc>
        <w:tc>
          <w:tcPr>
            <w:tcW w:w="720" w:type="dxa"/>
            <w:vAlign w:val="bottom"/>
            <w:tcBorders>
              <w:top w:val="single" w:sz="8" w:color="auto"/>
            </w:tcBorders>
            <w:shd w:val="clear" w:color="auto" w:fill="CCEEFF"/>
          </w:tcPr>
          <w:p>
            <w:pPr>
              <w:jc w:val="right"/>
              <w:spacing w:after="0" w:line="223" w:lineRule="exact"/>
              <w:rPr>
                <w:sz w:val="20"/>
                <w:szCs w:val="20"/>
                <w:color w:val="auto"/>
              </w:rPr>
            </w:pPr>
            <w:r>
              <w:rPr>
                <w:rFonts w:ascii="Arial" w:cs="Arial" w:eastAsia="Arial" w:hAnsi="Arial"/>
                <w:sz w:val="20"/>
                <w:szCs w:val="20"/>
                <w:color w:val="auto"/>
                <w:w w:val="93"/>
              </w:rPr>
              <w:t>(73,280)</w:t>
            </w:r>
          </w:p>
        </w:tc>
        <w:tc>
          <w:tcPr>
            <w:tcW w:w="6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spacing w:after="0" w:line="223" w:lineRule="exact"/>
              <w:rPr>
                <w:sz w:val="20"/>
                <w:szCs w:val="20"/>
                <w:color w:val="auto"/>
              </w:rPr>
            </w:pPr>
            <w:r>
              <w:rPr>
                <w:rFonts w:ascii="Arial" w:cs="Arial" w:eastAsia="Arial" w:hAnsi="Arial"/>
                <w:sz w:val="20"/>
                <w:szCs w:val="20"/>
                <w:color w:val="auto"/>
              </w:rPr>
              <w:t>$</w:t>
            </w:r>
          </w:p>
        </w:tc>
        <w:tc>
          <w:tcPr>
            <w:tcW w:w="1000" w:type="dxa"/>
            <w:vAlign w:val="bottom"/>
            <w:tcBorders>
              <w:top w:val="single" w:sz="8" w:color="auto"/>
            </w:tcBorders>
            <w:shd w:val="clear" w:color="auto" w:fill="CCEEFF"/>
          </w:tcPr>
          <w:p>
            <w:pPr>
              <w:jc w:val="right"/>
              <w:spacing w:after="0" w:line="223" w:lineRule="exact"/>
              <w:rPr>
                <w:sz w:val="20"/>
                <w:szCs w:val="20"/>
                <w:color w:val="auto"/>
              </w:rPr>
            </w:pPr>
            <w:r>
              <w:rPr>
                <w:rFonts w:ascii="Arial" w:cs="Arial" w:eastAsia="Arial" w:hAnsi="Arial"/>
                <w:sz w:val="20"/>
                <w:szCs w:val="20"/>
                <w:color w:val="auto"/>
              </w:rPr>
              <w:t>860</w:t>
            </w:r>
          </w:p>
        </w:tc>
        <w:tc>
          <w:tcPr>
            <w:tcW w:w="60" w:type="dxa"/>
            <w:vAlign w:val="bottom"/>
            <w:tcBorders>
              <w:top w:val="single" w:sz="8" w:color="CCEEFF"/>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jc w:val="right"/>
              <w:spacing w:after="0" w:line="223" w:lineRule="exact"/>
              <w:rPr>
                <w:sz w:val="20"/>
                <w:szCs w:val="20"/>
                <w:color w:val="auto"/>
              </w:rPr>
            </w:pPr>
            <w:r>
              <w:rPr>
                <w:rFonts w:ascii="Arial" w:cs="Arial" w:eastAsia="Arial" w:hAnsi="Arial"/>
                <w:sz w:val="20"/>
                <w:szCs w:val="20"/>
                <w:color w:val="auto"/>
                <w:w w:val="89"/>
              </w:rPr>
              <w:t>$1,957,621</w:t>
            </w:r>
          </w:p>
        </w:tc>
      </w:tr>
      <w:tr>
        <w:trPr>
          <w:trHeight w:val="243"/>
        </w:trPr>
        <w:tc>
          <w:tcPr>
            <w:tcW w:w="3480" w:type="dxa"/>
            <w:vAlign w:val="bottom"/>
          </w:tcPr>
          <w:p>
            <w:pPr>
              <w:spacing w:after="0"/>
              <w:rPr>
                <w:sz w:val="20"/>
                <w:szCs w:val="20"/>
                <w:color w:val="auto"/>
              </w:rPr>
            </w:pPr>
            <w:r>
              <w:rPr>
                <w:rFonts w:ascii="Arial" w:cs="Arial" w:eastAsia="Arial" w:hAnsi="Arial"/>
                <w:sz w:val="20"/>
                <w:szCs w:val="20"/>
                <w:color w:val="auto"/>
              </w:rPr>
              <w:t>Net income</w:t>
            </w:r>
          </w:p>
        </w:tc>
        <w:tc>
          <w:tcPr>
            <w:tcW w:w="200" w:type="dxa"/>
            <w:vAlign w:val="bottom"/>
          </w:tcPr>
          <w:p>
            <w:pPr>
              <w:spacing w:after="0"/>
              <w:rPr>
                <w:sz w:val="21"/>
                <w:szCs w:val="21"/>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20"/>
                <w:szCs w:val="20"/>
                <w:color w:val="auto"/>
              </w:rPr>
              <w:t>-</w:t>
            </w:r>
          </w:p>
        </w:tc>
        <w:tc>
          <w:tcPr>
            <w:tcW w:w="160" w:type="dxa"/>
            <w:vAlign w:val="bottom"/>
          </w:tcPr>
          <w:p>
            <w:pPr>
              <w:spacing w:after="0"/>
              <w:rPr>
                <w:sz w:val="21"/>
                <w:szCs w:val="21"/>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20"/>
                <w:szCs w:val="20"/>
                <w:color w:val="auto"/>
              </w:rPr>
              <w:t>-</w:t>
            </w:r>
          </w:p>
        </w:tc>
        <w:tc>
          <w:tcPr>
            <w:tcW w:w="960" w:type="dxa"/>
            <w:vAlign w:val="bottom"/>
          </w:tcPr>
          <w:p>
            <w:pPr>
              <w:jc w:val="right"/>
              <w:spacing w:after="0"/>
              <w:rPr>
                <w:sz w:val="20"/>
                <w:szCs w:val="20"/>
                <w:color w:val="auto"/>
              </w:rPr>
            </w:pPr>
            <w:r>
              <w:rPr>
                <w:rFonts w:ascii="Arial" w:cs="Arial" w:eastAsia="Arial" w:hAnsi="Arial"/>
                <w:sz w:val="20"/>
                <w:szCs w:val="20"/>
                <w:color w:val="auto"/>
              </w:rPr>
              <w:t>195,645</w:t>
            </w: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20"/>
                <w:szCs w:val="20"/>
                <w:color w:val="auto"/>
              </w:rPr>
              <w:t>-</w:t>
            </w:r>
          </w:p>
        </w:tc>
        <w:tc>
          <w:tcPr>
            <w:tcW w:w="220" w:type="dxa"/>
            <w:vAlign w:val="bottom"/>
          </w:tcPr>
          <w:p>
            <w:pPr>
              <w:spacing w:after="0"/>
              <w:rPr>
                <w:sz w:val="21"/>
                <w:szCs w:val="21"/>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20"/>
                <w:szCs w:val="20"/>
                <w:color w:val="auto"/>
              </w:rPr>
              <w:t>-</w:t>
            </w:r>
          </w:p>
        </w:tc>
        <w:tc>
          <w:tcPr>
            <w:tcW w:w="980" w:type="dxa"/>
            <w:vAlign w:val="bottom"/>
          </w:tcPr>
          <w:p>
            <w:pPr>
              <w:jc w:val="right"/>
              <w:spacing w:after="0"/>
              <w:rPr>
                <w:sz w:val="20"/>
                <w:szCs w:val="20"/>
                <w:color w:val="auto"/>
              </w:rPr>
            </w:pPr>
            <w:r>
              <w:rPr>
                <w:rFonts w:ascii="Arial" w:cs="Arial" w:eastAsia="Arial" w:hAnsi="Arial"/>
                <w:sz w:val="20"/>
                <w:szCs w:val="20"/>
                <w:color w:val="auto"/>
              </w:rPr>
              <w:t>195,645</w:t>
            </w:r>
          </w:p>
        </w:tc>
      </w:tr>
      <w:tr>
        <w:trPr>
          <w:trHeight w:val="243"/>
        </w:trPr>
        <w:tc>
          <w:tcPr>
            <w:tcW w:w="3480" w:type="dxa"/>
            <w:vAlign w:val="bottom"/>
            <w:shd w:val="clear" w:color="auto" w:fill="CCEEFF"/>
          </w:tcPr>
          <w:p>
            <w:pPr>
              <w:spacing w:after="0"/>
              <w:rPr>
                <w:sz w:val="20"/>
                <w:szCs w:val="20"/>
                <w:color w:val="auto"/>
              </w:rPr>
            </w:pPr>
            <w:r>
              <w:rPr>
                <w:rFonts w:ascii="Arial" w:cs="Arial" w:eastAsia="Arial" w:hAnsi="Arial"/>
                <w:sz w:val="20"/>
                <w:szCs w:val="20"/>
                <w:color w:val="auto"/>
              </w:rPr>
              <w:t>Dividends</w:t>
            </w:r>
          </w:p>
        </w:tc>
        <w:tc>
          <w:tcPr>
            <w:tcW w:w="200" w:type="dxa"/>
            <w:vAlign w:val="bottom"/>
            <w:shd w:val="clear" w:color="auto" w:fill="CCEEFF"/>
          </w:tcPr>
          <w:p>
            <w:pPr>
              <w:spacing w:after="0"/>
              <w:rPr>
                <w:sz w:val="21"/>
                <w:szCs w:val="21"/>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20"/>
                <w:szCs w:val="20"/>
                <w:color w:val="auto"/>
              </w:rPr>
              <w:t>-</w:t>
            </w:r>
          </w:p>
        </w:tc>
        <w:tc>
          <w:tcPr>
            <w:tcW w:w="160" w:type="dxa"/>
            <w:vAlign w:val="bottom"/>
            <w:shd w:val="clear" w:color="auto" w:fill="CCEEFF"/>
          </w:tcPr>
          <w:p>
            <w:pPr>
              <w:spacing w:after="0"/>
              <w:rPr>
                <w:sz w:val="21"/>
                <w:szCs w:val="21"/>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20"/>
                <w:szCs w:val="20"/>
                <w:color w:val="auto"/>
              </w:rPr>
              <w:t>-</w:t>
            </w: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20"/>
                <w:szCs w:val="20"/>
                <w:color w:val="auto"/>
              </w:rPr>
              <w:t>(111,766)</w:t>
            </w:r>
          </w:p>
        </w:tc>
        <w:tc>
          <w:tcPr>
            <w:tcW w:w="180" w:type="dxa"/>
            <w:vAlign w:val="bottom"/>
            <w:shd w:val="clear" w:color="auto" w:fill="CCEEFF"/>
          </w:tcPr>
          <w:p>
            <w:pPr>
              <w:spacing w:after="0"/>
              <w:rPr>
                <w:sz w:val="21"/>
                <w:szCs w:val="21"/>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20"/>
                <w:szCs w:val="20"/>
                <w:color w:val="auto"/>
              </w:rPr>
              <w:t>-</w:t>
            </w:r>
          </w:p>
        </w:tc>
        <w:tc>
          <w:tcPr>
            <w:tcW w:w="22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20"/>
                <w:szCs w:val="20"/>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(111,766)</w:t>
            </w:r>
          </w:p>
        </w:tc>
      </w:tr>
      <w:tr>
        <w:trPr>
          <w:trHeight w:val="213"/>
        </w:trPr>
        <w:tc>
          <w:tcPr>
            <w:tcW w:w="3480" w:type="dxa"/>
            <w:vAlign w:val="bottom"/>
          </w:tcPr>
          <w:p>
            <w:pPr>
              <w:spacing w:after="0" w:line="213" w:lineRule="exact"/>
              <w:rPr>
                <w:sz w:val="20"/>
                <w:szCs w:val="20"/>
                <w:color w:val="auto"/>
              </w:rPr>
            </w:pPr>
            <w:r>
              <w:rPr>
                <w:rFonts w:ascii="Arial" w:cs="Arial" w:eastAsia="Arial" w:hAnsi="Arial"/>
                <w:sz w:val="20"/>
                <w:szCs w:val="20"/>
                <w:color w:val="auto"/>
                <w:w w:val="92"/>
              </w:rPr>
              <w:t>Issuance of common stock under dividend</w:t>
            </w: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46"/>
        </w:trPr>
        <w:tc>
          <w:tcPr>
            <w:tcW w:w="3480" w:type="dxa"/>
            <w:vAlign w:val="bottom"/>
          </w:tcPr>
          <w:p>
            <w:pPr>
              <w:spacing w:after="0"/>
              <w:rPr>
                <w:sz w:val="20"/>
                <w:szCs w:val="20"/>
                <w:color w:val="auto"/>
              </w:rPr>
            </w:pPr>
            <w:r>
              <w:rPr>
                <w:rFonts w:ascii="Arial" w:cs="Arial" w:eastAsia="Arial" w:hAnsi="Arial"/>
                <w:sz w:val="20"/>
                <w:szCs w:val="20"/>
                <w:color w:val="auto"/>
              </w:rPr>
              <w:t>reinvestment plan (32,863 shares)</w:t>
            </w:r>
          </w:p>
        </w:tc>
        <w:tc>
          <w:tcPr>
            <w:tcW w:w="2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20"/>
                <w:szCs w:val="20"/>
                <w:color w:val="auto"/>
              </w:rPr>
              <w:t>16</w:t>
            </w: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20"/>
                <w:szCs w:val="20"/>
                <w:color w:val="auto"/>
              </w:rPr>
              <w:t>1,085</w:t>
            </w:r>
          </w:p>
        </w:tc>
        <w:tc>
          <w:tcPr>
            <w:tcW w:w="60" w:type="dxa"/>
            <w:vAlign w:val="bottom"/>
          </w:tcPr>
          <w:p>
            <w:pPr>
              <w:spacing w:after="0"/>
              <w:rPr>
                <w:sz w:val="21"/>
                <w:szCs w:val="21"/>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20"/>
                <w:szCs w:val="20"/>
                <w:color w:val="auto"/>
              </w:rPr>
              <w:t>-</w:t>
            </w:r>
          </w:p>
        </w:tc>
        <w:tc>
          <w:tcPr>
            <w:tcW w:w="180" w:type="dxa"/>
            <w:vAlign w:val="bottom"/>
          </w:tcPr>
          <w:p>
            <w:pPr>
              <w:spacing w:after="0"/>
              <w:rPr>
                <w:sz w:val="21"/>
                <w:szCs w:val="21"/>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20"/>
                <w:szCs w:val="20"/>
                <w:color w:val="auto"/>
              </w:rPr>
              <w:t>-</w:t>
            </w:r>
          </w:p>
        </w:tc>
        <w:tc>
          <w:tcPr>
            <w:tcW w:w="220" w:type="dxa"/>
            <w:vAlign w:val="bottom"/>
          </w:tcPr>
          <w:p>
            <w:pPr>
              <w:spacing w:after="0"/>
              <w:rPr>
                <w:sz w:val="21"/>
                <w:szCs w:val="21"/>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20"/>
                <w:szCs w:val="20"/>
                <w:color w:val="auto"/>
              </w:rPr>
              <w:t>-</w:t>
            </w:r>
          </w:p>
        </w:tc>
        <w:tc>
          <w:tcPr>
            <w:tcW w:w="980" w:type="dxa"/>
            <w:vAlign w:val="bottom"/>
          </w:tcPr>
          <w:p>
            <w:pPr>
              <w:jc w:val="right"/>
              <w:spacing w:after="0"/>
              <w:rPr>
                <w:sz w:val="20"/>
                <w:szCs w:val="20"/>
                <w:color w:val="auto"/>
              </w:rPr>
            </w:pPr>
            <w:r>
              <w:rPr>
                <w:rFonts w:ascii="Arial" w:cs="Arial" w:eastAsia="Arial" w:hAnsi="Arial"/>
                <w:sz w:val="20"/>
                <w:szCs w:val="20"/>
                <w:color w:val="auto"/>
              </w:rPr>
              <w:t>1,101</w:t>
            </w:r>
          </w:p>
        </w:tc>
      </w:tr>
      <w:tr>
        <w:trPr>
          <w:trHeight w:val="243"/>
        </w:trPr>
        <w:tc>
          <w:tcPr>
            <w:tcW w:w="3480" w:type="dxa"/>
            <w:vAlign w:val="bottom"/>
            <w:shd w:val="clear" w:color="auto" w:fill="CCEEFF"/>
          </w:tcPr>
          <w:p>
            <w:pPr>
              <w:spacing w:after="0"/>
              <w:rPr>
                <w:sz w:val="20"/>
                <w:szCs w:val="20"/>
                <w:color w:val="auto"/>
              </w:rPr>
            </w:pPr>
            <w:r>
              <w:rPr>
                <w:rFonts w:ascii="Arial" w:cs="Arial" w:eastAsia="Arial" w:hAnsi="Arial"/>
                <w:sz w:val="20"/>
                <w:szCs w:val="20"/>
                <w:color w:val="auto"/>
              </w:rPr>
              <w:t>Repurchase of stock (71,965 shares)</w:t>
            </w:r>
          </w:p>
        </w:tc>
        <w:tc>
          <w:tcPr>
            <w:tcW w:w="200" w:type="dxa"/>
            <w:vAlign w:val="bottom"/>
            <w:shd w:val="clear" w:color="auto" w:fill="CCEEFF"/>
          </w:tcPr>
          <w:p>
            <w:pPr>
              <w:spacing w:after="0"/>
              <w:rPr>
                <w:sz w:val="21"/>
                <w:szCs w:val="21"/>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20"/>
                <w:szCs w:val="20"/>
                <w:color w:val="auto"/>
              </w:rPr>
              <w:t>-</w:t>
            </w:r>
          </w:p>
        </w:tc>
        <w:tc>
          <w:tcPr>
            <w:tcW w:w="160" w:type="dxa"/>
            <w:vAlign w:val="bottom"/>
            <w:shd w:val="clear" w:color="auto" w:fill="CCEEFF"/>
          </w:tcPr>
          <w:p>
            <w:pPr>
              <w:spacing w:after="0"/>
              <w:rPr>
                <w:sz w:val="21"/>
                <w:szCs w:val="21"/>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20"/>
                <w:szCs w:val="20"/>
                <w:color w:val="auto"/>
              </w:rPr>
              <w:t>-</w:t>
            </w: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20"/>
                <w:szCs w:val="20"/>
                <w:color w:val="auto"/>
              </w:rPr>
              <w:t>-</w:t>
            </w:r>
          </w:p>
        </w:tc>
        <w:tc>
          <w:tcPr>
            <w:tcW w:w="180" w:type="dxa"/>
            <w:vAlign w:val="bottom"/>
            <w:shd w:val="clear" w:color="auto" w:fill="CCEEFF"/>
          </w:tcPr>
          <w:p>
            <w:pPr>
              <w:spacing w:after="0"/>
              <w:rPr>
                <w:sz w:val="21"/>
                <w:szCs w:val="21"/>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20"/>
                <w:szCs w:val="20"/>
                <w:color w:val="auto"/>
              </w:rPr>
              <w:t>(2,492)</w:t>
            </w:r>
          </w:p>
        </w:tc>
        <w:tc>
          <w:tcPr>
            <w:tcW w:w="22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20"/>
                <w:szCs w:val="20"/>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(2,492)</w:t>
            </w:r>
          </w:p>
        </w:tc>
      </w:tr>
      <w:tr>
        <w:trPr>
          <w:trHeight w:val="213"/>
        </w:trPr>
        <w:tc>
          <w:tcPr>
            <w:tcW w:w="3480" w:type="dxa"/>
            <w:vAlign w:val="bottom"/>
          </w:tcPr>
          <w:p>
            <w:pPr>
              <w:spacing w:after="0" w:line="213" w:lineRule="exact"/>
              <w:rPr>
                <w:sz w:val="20"/>
                <w:szCs w:val="20"/>
                <w:color w:val="auto"/>
              </w:rPr>
            </w:pPr>
            <w:r>
              <w:rPr>
                <w:rFonts w:ascii="Arial" w:cs="Arial" w:eastAsia="Arial" w:hAnsi="Arial"/>
                <w:sz w:val="20"/>
                <w:szCs w:val="20"/>
                <w:color w:val="auto"/>
              </w:rPr>
              <w:t>Equity compensation plan (190,062</w:t>
            </w: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46"/>
        </w:trPr>
        <w:tc>
          <w:tcPr>
            <w:tcW w:w="3480" w:type="dxa"/>
            <w:vAlign w:val="bottom"/>
          </w:tcPr>
          <w:p>
            <w:pPr>
              <w:spacing w:after="0"/>
              <w:rPr>
                <w:sz w:val="20"/>
                <w:szCs w:val="20"/>
                <w:color w:val="auto"/>
              </w:rPr>
            </w:pPr>
            <w:r>
              <w:rPr>
                <w:rFonts w:ascii="Arial" w:cs="Arial" w:eastAsia="Arial" w:hAnsi="Arial"/>
                <w:sz w:val="20"/>
                <w:szCs w:val="20"/>
                <w:color w:val="auto"/>
              </w:rPr>
              <w:t>shares)</w:t>
            </w:r>
          </w:p>
        </w:tc>
        <w:tc>
          <w:tcPr>
            <w:tcW w:w="2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20"/>
                <w:szCs w:val="20"/>
                <w:color w:val="auto"/>
              </w:rPr>
              <w:t>96</w:t>
            </w: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20"/>
                <w:szCs w:val="20"/>
                <w:color w:val="auto"/>
              </w:rPr>
              <w:t>(96)</w:t>
            </w:r>
          </w:p>
        </w:tc>
        <w:tc>
          <w:tcPr>
            <w:tcW w:w="1020" w:type="dxa"/>
            <w:vAlign w:val="bottom"/>
            <w:gridSpan w:val="2"/>
          </w:tcPr>
          <w:p>
            <w:pPr>
              <w:jc w:val="right"/>
              <w:ind w:right="40"/>
              <w:spacing w:after="0"/>
              <w:rPr>
                <w:sz w:val="20"/>
                <w:szCs w:val="20"/>
                <w:color w:val="auto"/>
              </w:rPr>
            </w:pPr>
            <w:r>
              <w:rPr>
                <w:rFonts w:ascii="Arial" w:cs="Arial" w:eastAsia="Arial" w:hAnsi="Arial"/>
                <w:sz w:val="20"/>
                <w:szCs w:val="20"/>
                <w:color w:val="auto"/>
              </w:rPr>
              <w:t>-</w:t>
            </w:r>
          </w:p>
        </w:tc>
        <w:tc>
          <w:tcPr>
            <w:tcW w:w="180" w:type="dxa"/>
            <w:vAlign w:val="bottom"/>
          </w:tcPr>
          <w:p>
            <w:pPr>
              <w:spacing w:after="0"/>
              <w:rPr>
                <w:sz w:val="21"/>
                <w:szCs w:val="21"/>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20"/>
                <w:szCs w:val="20"/>
                <w:color w:val="auto"/>
              </w:rPr>
              <w:t>-</w:t>
            </w:r>
          </w:p>
        </w:tc>
        <w:tc>
          <w:tcPr>
            <w:tcW w:w="220" w:type="dxa"/>
            <w:vAlign w:val="bottom"/>
          </w:tcPr>
          <w:p>
            <w:pPr>
              <w:spacing w:after="0"/>
              <w:rPr>
                <w:sz w:val="21"/>
                <w:szCs w:val="21"/>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20"/>
                <w:szCs w:val="20"/>
                <w:color w:val="auto"/>
              </w:rPr>
              <w:t>-</w:t>
            </w:r>
          </w:p>
        </w:tc>
        <w:tc>
          <w:tcPr>
            <w:tcW w:w="980" w:type="dxa"/>
            <w:vAlign w:val="bottom"/>
          </w:tcPr>
          <w:p>
            <w:pPr>
              <w:jc w:val="right"/>
              <w:spacing w:after="0"/>
              <w:rPr>
                <w:sz w:val="20"/>
                <w:szCs w:val="20"/>
                <w:color w:val="auto"/>
              </w:rPr>
            </w:pPr>
            <w:r>
              <w:rPr>
                <w:rFonts w:ascii="Arial" w:cs="Arial" w:eastAsia="Arial" w:hAnsi="Arial"/>
                <w:sz w:val="20"/>
                <w:szCs w:val="20"/>
                <w:color w:val="auto"/>
              </w:rPr>
              <w:t>-</w:t>
            </w:r>
          </w:p>
        </w:tc>
      </w:tr>
      <w:tr>
        <w:trPr>
          <w:trHeight w:val="243"/>
        </w:trPr>
        <w:tc>
          <w:tcPr>
            <w:tcW w:w="3480" w:type="dxa"/>
            <w:vAlign w:val="bottom"/>
            <w:shd w:val="clear" w:color="auto" w:fill="CCEEFF"/>
          </w:tcPr>
          <w:p>
            <w:pPr>
              <w:spacing w:after="0"/>
              <w:rPr>
                <w:sz w:val="20"/>
                <w:szCs w:val="20"/>
                <w:color w:val="auto"/>
              </w:rPr>
            </w:pPr>
            <w:r>
              <w:rPr>
                <w:rFonts w:ascii="Arial" w:cs="Arial" w:eastAsia="Arial" w:hAnsi="Arial"/>
                <w:sz w:val="20"/>
                <w:szCs w:val="20"/>
                <w:color w:val="auto"/>
                <w:w w:val="94"/>
              </w:rPr>
              <w:t>Exercise of stock options (74,976 shares)</w:t>
            </w:r>
          </w:p>
        </w:tc>
        <w:tc>
          <w:tcPr>
            <w:tcW w:w="20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37</w:t>
            </w:r>
          </w:p>
        </w:tc>
        <w:tc>
          <w:tcPr>
            <w:tcW w:w="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1,165</w:t>
            </w:r>
          </w:p>
        </w:tc>
        <w:tc>
          <w:tcPr>
            <w:tcW w:w="6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20"/>
                <w:szCs w:val="20"/>
                <w:color w:val="auto"/>
              </w:rPr>
              <w:t>-</w:t>
            </w:r>
          </w:p>
        </w:tc>
        <w:tc>
          <w:tcPr>
            <w:tcW w:w="180" w:type="dxa"/>
            <w:vAlign w:val="bottom"/>
            <w:shd w:val="clear" w:color="auto" w:fill="CCEEFF"/>
          </w:tcPr>
          <w:p>
            <w:pPr>
              <w:spacing w:after="0"/>
              <w:rPr>
                <w:sz w:val="21"/>
                <w:szCs w:val="21"/>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20"/>
                <w:szCs w:val="20"/>
                <w:color w:val="auto"/>
              </w:rPr>
              <w:t>-</w:t>
            </w:r>
          </w:p>
        </w:tc>
        <w:tc>
          <w:tcPr>
            <w:tcW w:w="22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20"/>
                <w:szCs w:val="20"/>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1,202</w:t>
            </w:r>
          </w:p>
        </w:tc>
      </w:tr>
      <w:tr>
        <w:trPr>
          <w:trHeight w:val="243"/>
        </w:trPr>
        <w:tc>
          <w:tcPr>
            <w:tcW w:w="3480" w:type="dxa"/>
            <w:vAlign w:val="bottom"/>
          </w:tcPr>
          <w:p>
            <w:pPr>
              <w:spacing w:after="0"/>
              <w:rPr>
                <w:sz w:val="20"/>
                <w:szCs w:val="20"/>
                <w:color w:val="auto"/>
              </w:rPr>
            </w:pPr>
            <w:r>
              <w:rPr>
                <w:rFonts w:ascii="Arial" w:cs="Arial" w:eastAsia="Arial" w:hAnsi="Arial"/>
                <w:sz w:val="20"/>
                <w:szCs w:val="20"/>
                <w:color w:val="auto"/>
              </w:rPr>
              <w:t>Stock-based compensation</w:t>
            </w:r>
          </w:p>
        </w:tc>
        <w:tc>
          <w:tcPr>
            <w:tcW w:w="200" w:type="dxa"/>
            <w:vAlign w:val="bottom"/>
          </w:tcPr>
          <w:p>
            <w:pPr>
              <w:spacing w:after="0"/>
              <w:rPr>
                <w:sz w:val="21"/>
                <w:szCs w:val="21"/>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20"/>
                <w:szCs w:val="20"/>
                <w:color w:val="auto"/>
              </w:rPr>
              <w:t>-</w:t>
            </w:r>
          </w:p>
        </w:tc>
        <w:tc>
          <w:tcPr>
            <w:tcW w:w="16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20"/>
                <w:szCs w:val="20"/>
                <w:color w:val="auto"/>
              </w:rPr>
              <w:t>5,327</w:t>
            </w:r>
          </w:p>
        </w:tc>
        <w:tc>
          <w:tcPr>
            <w:tcW w:w="60" w:type="dxa"/>
            <w:vAlign w:val="bottom"/>
          </w:tcPr>
          <w:p>
            <w:pPr>
              <w:spacing w:after="0"/>
              <w:rPr>
                <w:sz w:val="21"/>
                <w:szCs w:val="21"/>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20"/>
                <w:szCs w:val="20"/>
                <w:color w:val="auto"/>
              </w:rPr>
              <w:t>(288)</w:t>
            </w:r>
          </w:p>
        </w:tc>
        <w:tc>
          <w:tcPr>
            <w:tcW w:w="180" w:type="dxa"/>
            <w:vAlign w:val="bottom"/>
          </w:tcPr>
          <w:p>
            <w:pPr>
              <w:spacing w:after="0"/>
              <w:rPr>
                <w:sz w:val="21"/>
                <w:szCs w:val="21"/>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20"/>
                <w:szCs w:val="20"/>
                <w:color w:val="auto"/>
              </w:rPr>
              <w:t>-</w:t>
            </w:r>
          </w:p>
        </w:tc>
        <w:tc>
          <w:tcPr>
            <w:tcW w:w="220" w:type="dxa"/>
            <w:vAlign w:val="bottom"/>
          </w:tcPr>
          <w:p>
            <w:pPr>
              <w:spacing w:after="0"/>
              <w:rPr>
                <w:sz w:val="21"/>
                <w:szCs w:val="21"/>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20"/>
                <w:szCs w:val="20"/>
                <w:color w:val="auto"/>
              </w:rPr>
              <w:t>-</w:t>
            </w:r>
          </w:p>
        </w:tc>
        <w:tc>
          <w:tcPr>
            <w:tcW w:w="980" w:type="dxa"/>
            <w:vAlign w:val="bottom"/>
          </w:tcPr>
          <w:p>
            <w:pPr>
              <w:jc w:val="right"/>
              <w:spacing w:after="0"/>
              <w:rPr>
                <w:sz w:val="20"/>
                <w:szCs w:val="20"/>
                <w:color w:val="auto"/>
              </w:rPr>
            </w:pPr>
            <w:r>
              <w:rPr>
                <w:rFonts w:ascii="Arial" w:cs="Arial" w:eastAsia="Arial" w:hAnsi="Arial"/>
                <w:sz w:val="20"/>
                <w:szCs w:val="20"/>
                <w:color w:val="auto"/>
              </w:rPr>
              <w:t>5,039</w:t>
            </w:r>
          </w:p>
        </w:tc>
      </w:tr>
      <w:tr>
        <w:trPr>
          <w:trHeight w:val="213"/>
        </w:trPr>
        <w:tc>
          <w:tcPr>
            <w:tcW w:w="3480" w:type="dxa"/>
            <w:vAlign w:val="bottom"/>
            <w:shd w:val="clear" w:color="auto" w:fill="CCEEFF"/>
          </w:tcPr>
          <w:p>
            <w:pPr>
              <w:spacing w:after="0" w:line="213" w:lineRule="exact"/>
              <w:rPr>
                <w:sz w:val="20"/>
                <w:szCs w:val="20"/>
                <w:color w:val="auto"/>
              </w:rPr>
            </w:pPr>
            <w:r>
              <w:rPr>
                <w:rFonts w:ascii="Arial" w:cs="Arial" w:eastAsia="Arial" w:hAnsi="Arial"/>
                <w:sz w:val="20"/>
                <w:szCs w:val="20"/>
                <w:color w:val="auto"/>
                <w:w w:val="93"/>
              </w:rPr>
              <w:t>Cumulative effect of change in accounting</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r>
      <w:tr>
        <w:trPr>
          <w:trHeight w:val="246"/>
        </w:trPr>
        <w:tc>
          <w:tcPr>
            <w:tcW w:w="3480" w:type="dxa"/>
            <w:vAlign w:val="bottom"/>
            <w:shd w:val="clear" w:color="auto" w:fill="CCEEFF"/>
          </w:tcPr>
          <w:p>
            <w:pPr>
              <w:spacing w:after="0"/>
              <w:rPr>
                <w:sz w:val="20"/>
                <w:szCs w:val="20"/>
                <w:color w:val="auto"/>
              </w:rPr>
            </w:pPr>
            <w:r>
              <w:rPr>
                <w:rFonts w:ascii="Arial" w:cs="Arial" w:eastAsia="Arial" w:hAnsi="Arial"/>
                <w:sz w:val="20"/>
                <w:szCs w:val="20"/>
                <w:color w:val="auto"/>
              </w:rPr>
              <w:t>principle - financial instruments</w:t>
            </w:r>
          </w:p>
        </w:tc>
        <w:tc>
          <w:tcPr>
            <w:tcW w:w="200" w:type="dxa"/>
            <w:vAlign w:val="bottom"/>
            <w:shd w:val="clear" w:color="auto" w:fill="CCEEFF"/>
          </w:tcPr>
          <w:p>
            <w:pPr>
              <w:spacing w:after="0"/>
              <w:rPr>
                <w:sz w:val="21"/>
                <w:szCs w:val="21"/>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20"/>
                <w:szCs w:val="20"/>
                <w:color w:val="auto"/>
              </w:rPr>
              <w:t>-</w:t>
            </w:r>
          </w:p>
        </w:tc>
        <w:tc>
          <w:tcPr>
            <w:tcW w:w="160" w:type="dxa"/>
            <w:vAlign w:val="bottom"/>
            <w:shd w:val="clear" w:color="auto" w:fill="CCEEFF"/>
          </w:tcPr>
          <w:p>
            <w:pPr>
              <w:spacing w:after="0"/>
              <w:rPr>
                <w:sz w:val="21"/>
                <w:szCs w:val="21"/>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20"/>
                <w:szCs w:val="20"/>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860</w:t>
            </w:r>
          </w:p>
        </w:tc>
        <w:tc>
          <w:tcPr>
            <w:tcW w:w="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20"/>
                <w:szCs w:val="20"/>
                <w:color w:val="auto"/>
              </w:rPr>
              <w:t>-</w:t>
            </w:r>
          </w:p>
        </w:tc>
        <w:tc>
          <w:tcPr>
            <w:tcW w:w="22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20"/>
                <w:szCs w:val="20"/>
                <w:color w:val="auto"/>
              </w:rPr>
              <w:t>(860)</w:t>
            </w:r>
          </w:p>
        </w:tc>
        <w:tc>
          <w:tcPr>
            <w:tcW w:w="9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w:t>
            </w:r>
          </w:p>
        </w:tc>
      </w:tr>
      <w:tr>
        <w:trPr>
          <w:trHeight w:val="243"/>
        </w:trPr>
        <w:tc>
          <w:tcPr>
            <w:tcW w:w="3480" w:type="dxa"/>
            <w:vAlign w:val="bottom"/>
          </w:tcPr>
          <w:p>
            <w:pPr>
              <w:spacing w:after="0"/>
              <w:rPr>
                <w:sz w:val="20"/>
                <w:szCs w:val="20"/>
                <w:color w:val="auto"/>
              </w:rPr>
            </w:pPr>
            <w:r>
              <w:rPr>
                <w:rFonts w:ascii="Arial" w:cs="Arial" w:eastAsia="Arial" w:hAnsi="Arial"/>
                <w:sz w:val="20"/>
                <w:szCs w:val="20"/>
                <w:color w:val="auto"/>
              </w:rPr>
              <w:t>Other</w:t>
            </w:r>
          </w:p>
        </w:tc>
        <w:tc>
          <w:tcPr>
            <w:tcW w:w="200" w:type="dxa"/>
            <w:vAlign w:val="bottom"/>
          </w:tcPr>
          <w:p>
            <w:pPr>
              <w:spacing w:after="0"/>
              <w:rPr>
                <w:sz w:val="21"/>
                <w:szCs w:val="21"/>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20"/>
                <w:szCs w:val="20"/>
                <w:color w:val="auto"/>
              </w:rPr>
              <w:t>-</w:t>
            </w:r>
          </w:p>
        </w:tc>
        <w:tc>
          <w:tcPr>
            <w:tcW w:w="160" w:type="dxa"/>
            <w:vAlign w:val="bottom"/>
          </w:tcPr>
          <w:p>
            <w:pPr>
              <w:spacing w:after="0"/>
              <w:rPr>
                <w:sz w:val="21"/>
                <w:szCs w:val="21"/>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20"/>
                <w:szCs w:val="20"/>
                <w:color w:val="auto"/>
              </w:rPr>
              <w:t>(612)</w:t>
            </w:r>
          </w:p>
        </w:tc>
        <w:tc>
          <w:tcPr>
            <w:tcW w:w="1020" w:type="dxa"/>
            <w:vAlign w:val="bottom"/>
            <w:gridSpan w:val="2"/>
          </w:tcPr>
          <w:p>
            <w:pPr>
              <w:jc w:val="right"/>
              <w:ind w:right="40"/>
              <w:spacing w:after="0"/>
              <w:rPr>
                <w:sz w:val="20"/>
                <w:szCs w:val="20"/>
                <w:color w:val="auto"/>
              </w:rPr>
            </w:pPr>
            <w:r>
              <w:rPr>
                <w:rFonts w:ascii="Arial" w:cs="Arial" w:eastAsia="Arial" w:hAnsi="Arial"/>
                <w:sz w:val="20"/>
                <w:szCs w:val="20"/>
                <w:color w:val="auto"/>
              </w:rPr>
              <w:t>-</w:t>
            </w:r>
          </w:p>
        </w:tc>
        <w:tc>
          <w:tcPr>
            <w:tcW w:w="180" w:type="dxa"/>
            <w:vAlign w:val="bottom"/>
          </w:tcPr>
          <w:p>
            <w:pPr>
              <w:spacing w:after="0"/>
              <w:rPr>
                <w:sz w:val="21"/>
                <w:szCs w:val="21"/>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20"/>
                <w:szCs w:val="20"/>
                <w:color w:val="auto"/>
              </w:rPr>
              <w:t>-</w:t>
            </w:r>
          </w:p>
        </w:tc>
        <w:tc>
          <w:tcPr>
            <w:tcW w:w="220" w:type="dxa"/>
            <w:vAlign w:val="bottom"/>
          </w:tcPr>
          <w:p>
            <w:pPr>
              <w:spacing w:after="0"/>
              <w:rPr>
                <w:sz w:val="21"/>
                <w:szCs w:val="21"/>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20"/>
                <w:szCs w:val="20"/>
                <w:color w:val="auto"/>
              </w:rPr>
              <w:t>-</w:t>
            </w:r>
          </w:p>
        </w:tc>
        <w:tc>
          <w:tcPr>
            <w:tcW w:w="980" w:type="dxa"/>
            <w:vAlign w:val="bottom"/>
          </w:tcPr>
          <w:p>
            <w:pPr>
              <w:jc w:val="right"/>
              <w:spacing w:after="0"/>
              <w:rPr>
                <w:sz w:val="20"/>
                <w:szCs w:val="20"/>
                <w:color w:val="auto"/>
              </w:rPr>
            </w:pPr>
            <w:r>
              <w:rPr>
                <w:rFonts w:ascii="Arial" w:cs="Arial" w:eastAsia="Arial" w:hAnsi="Arial"/>
                <w:sz w:val="20"/>
                <w:szCs w:val="20"/>
                <w:color w:val="auto"/>
              </w:rPr>
              <w:t>(612)</w:t>
            </w:r>
          </w:p>
        </w:tc>
      </w:tr>
      <w:tr>
        <w:trPr>
          <w:trHeight w:val="230"/>
        </w:trPr>
        <w:tc>
          <w:tcPr>
            <w:tcW w:w="3480" w:type="dxa"/>
            <w:vAlign w:val="bottom"/>
            <w:tcBorders>
              <w:top w:val="single" w:sz="8" w:color="CCEEFF"/>
              <w:bottom w:val="single" w:sz="8" w:color="CCEEFF"/>
            </w:tcBorders>
            <w:shd w:val="clear" w:color="auto" w:fill="CCEEFF"/>
          </w:tcPr>
          <w:p>
            <w:pPr>
              <w:spacing w:after="0" w:line="223" w:lineRule="exact"/>
              <w:rPr>
                <w:sz w:val="20"/>
                <w:szCs w:val="20"/>
                <w:color w:val="auto"/>
              </w:rPr>
            </w:pPr>
            <w:r>
              <w:rPr>
                <w:rFonts w:ascii="Arial" w:cs="Arial" w:eastAsia="Arial" w:hAnsi="Arial"/>
                <w:sz w:val="20"/>
                <w:szCs w:val="20"/>
                <w:color w:val="auto"/>
              </w:rPr>
              <w:t>Balance at September 30, 2018</w:t>
            </w:r>
          </w:p>
        </w:tc>
        <w:tc>
          <w:tcPr>
            <w:tcW w:w="200" w:type="dxa"/>
            <w:vAlign w:val="bottom"/>
            <w:tcBorders>
              <w:top w:val="single" w:sz="8" w:color="auto"/>
              <w:bottom w:val="single" w:sz="8" w:color="auto"/>
            </w:tcBorders>
            <w:shd w:val="clear" w:color="auto" w:fill="CCEEFF"/>
          </w:tcPr>
          <w:p>
            <w:pPr>
              <w:jc w:val="right"/>
              <w:spacing w:after="0" w:line="223" w:lineRule="exact"/>
              <w:rPr>
                <w:sz w:val="20"/>
                <w:szCs w:val="20"/>
                <w:color w:val="auto"/>
              </w:rPr>
            </w:pPr>
            <w:r>
              <w:rPr>
                <w:rFonts w:ascii="Arial" w:cs="Arial" w:eastAsia="Arial" w:hAnsi="Arial"/>
                <w:sz w:val="20"/>
                <w:szCs w:val="20"/>
                <w:color w:val="auto"/>
              </w:rPr>
              <w:t>$</w:t>
            </w:r>
          </w:p>
        </w:tc>
        <w:tc>
          <w:tcPr>
            <w:tcW w:w="720" w:type="dxa"/>
            <w:vAlign w:val="bottom"/>
            <w:tcBorders>
              <w:top w:val="single" w:sz="8" w:color="auto"/>
              <w:bottom w:val="single" w:sz="8" w:color="auto"/>
            </w:tcBorders>
            <w:shd w:val="clear" w:color="auto" w:fill="CCEEFF"/>
          </w:tcPr>
          <w:p>
            <w:pPr>
              <w:jc w:val="right"/>
              <w:spacing w:after="0" w:line="223" w:lineRule="exact"/>
              <w:rPr>
                <w:sz w:val="20"/>
                <w:szCs w:val="20"/>
                <w:color w:val="auto"/>
              </w:rPr>
            </w:pPr>
            <w:r>
              <w:rPr>
                <w:rFonts w:ascii="Arial" w:cs="Arial" w:eastAsia="Arial" w:hAnsi="Arial"/>
                <w:sz w:val="20"/>
                <w:szCs w:val="20"/>
                <w:color w:val="auto"/>
              </w:rPr>
              <w:t>90,499</w:t>
            </w:r>
          </w:p>
        </w:tc>
        <w:tc>
          <w:tcPr>
            <w:tcW w:w="6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line="223" w:lineRule="exact"/>
              <w:rPr>
                <w:sz w:val="20"/>
                <w:szCs w:val="20"/>
                <w:color w:val="auto"/>
              </w:rPr>
            </w:pPr>
            <w:r>
              <w:rPr>
                <w:rFonts w:ascii="Arial" w:cs="Arial" w:eastAsia="Arial" w:hAnsi="Arial"/>
                <w:sz w:val="20"/>
                <w:szCs w:val="20"/>
                <w:color w:val="auto"/>
                <w:w w:val="89"/>
              </w:rPr>
              <w:t>$</w:t>
            </w:r>
          </w:p>
        </w:tc>
        <w:tc>
          <w:tcPr>
            <w:tcW w:w="740" w:type="dxa"/>
            <w:vAlign w:val="bottom"/>
            <w:tcBorders>
              <w:top w:val="single" w:sz="8" w:color="auto"/>
              <w:bottom w:val="single" w:sz="8" w:color="auto"/>
            </w:tcBorders>
            <w:shd w:val="clear" w:color="auto" w:fill="CCEEFF"/>
          </w:tcPr>
          <w:p>
            <w:pPr>
              <w:jc w:val="right"/>
              <w:spacing w:after="0" w:line="223" w:lineRule="exact"/>
              <w:rPr>
                <w:sz w:val="20"/>
                <w:szCs w:val="20"/>
                <w:color w:val="auto"/>
              </w:rPr>
            </w:pPr>
            <w:r>
              <w:rPr>
                <w:rFonts w:ascii="Arial" w:cs="Arial" w:eastAsia="Arial" w:hAnsi="Arial"/>
                <w:sz w:val="20"/>
                <w:szCs w:val="20"/>
                <w:color w:val="auto"/>
                <w:w w:val="94"/>
              </w:rPr>
              <w:t>814,004</w:t>
            </w:r>
          </w:p>
        </w:tc>
        <w:tc>
          <w:tcPr>
            <w:tcW w:w="60" w:type="dxa"/>
            <w:vAlign w:val="bottom"/>
            <w:tcBorders>
              <w:top w:val="single" w:sz="8" w:color="CCEEFF"/>
              <w:bottom w:val="single" w:sz="8" w:color="CCEEFF"/>
            </w:tcBorders>
            <w:shd w:val="clear" w:color="auto" w:fill="CCEEFF"/>
          </w:tcPr>
          <w:p>
            <w:pPr>
              <w:spacing w:after="0"/>
              <w:rPr>
                <w:sz w:val="20"/>
                <w:szCs w:val="20"/>
                <w:color w:val="auto"/>
              </w:rPr>
            </w:pPr>
          </w:p>
        </w:tc>
        <w:tc>
          <w:tcPr>
            <w:tcW w:w="960" w:type="dxa"/>
            <w:vAlign w:val="bottom"/>
            <w:tcBorders>
              <w:top w:val="single" w:sz="8" w:color="auto"/>
              <w:bottom w:val="single" w:sz="8" w:color="auto"/>
            </w:tcBorders>
            <w:shd w:val="clear" w:color="auto" w:fill="CCEEFF"/>
          </w:tcPr>
          <w:p>
            <w:pPr>
              <w:jc w:val="right"/>
              <w:spacing w:after="0" w:line="223" w:lineRule="exact"/>
              <w:rPr>
                <w:sz w:val="20"/>
                <w:szCs w:val="20"/>
                <w:color w:val="auto"/>
              </w:rPr>
            </w:pPr>
            <w:r>
              <w:rPr>
                <w:rFonts w:ascii="Arial" w:cs="Arial" w:eastAsia="Arial" w:hAnsi="Arial"/>
                <w:sz w:val="20"/>
                <w:szCs w:val="20"/>
                <w:u w:val="single" w:color="auto"/>
                <w:color w:val="auto"/>
                <w:w w:val="89"/>
              </w:rPr>
              <w:t>$</w:t>
            </w:r>
            <w:r>
              <w:rPr>
                <w:rFonts w:ascii="Arial" w:cs="Arial" w:eastAsia="Arial" w:hAnsi="Arial"/>
                <w:sz w:val="20"/>
                <w:szCs w:val="20"/>
                <w:color w:val="auto"/>
                <w:w w:val="89"/>
              </w:rPr>
              <w:t>1,217,007</w:t>
            </w:r>
          </w:p>
        </w:tc>
        <w:tc>
          <w:tcPr>
            <w:tcW w:w="6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line="223" w:lineRule="exact"/>
              <w:rPr>
                <w:sz w:val="20"/>
                <w:szCs w:val="20"/>
                <w:color w:val="auto"/>
              </w:rPr>
            </w:pPr>
            <w:r>
              <w:rPr>
                <w:rFonts w:ascii="Arial" w:cs="Arial" w:eastAsia="Arial" w:hAnsi="Arial"/>
                <w:sz w:val="20"/>
                <w:szCs w:val="20"/>
                <w:color w:val="auto"/>
                <w:w w:val="89"/>
              </w:rPr>
              <w:t>$</w:t>
            </w:r>
          </w:p>
        </w:tc>
        <w:tc>
          <w:tcPr>
            <w:tcW w:w="720" w:type="dxa"/>
            <w:vAlign w:val="bottom"/>
            <w:tcBorders>
              <w:top w:val="single" w:sz="8" w:color="auto"/>
              <w:bottom w:val="single" w:sz="8" w:color="auto"/>
            </w:tcBorders>
            <w:shd w:val="clear" w:color="auto" w:fill="CCEEFF"/>
          </w:tcPr>
          <w:p>
            <w:pPr>
              <w:jc w:val="right"/>
              <w:spacing w:after="0" w:line="223" w:lineRule="exact"/>
              <w:rPr>
                <w:sz w:val="20"/>
                <w:szCs w:val="20"/>
                <w:color w:val="auto"/>
              </w:rPr>
            </w:pPr>
            <w:r>
              <w:rPr>
                <w:rFonts w:ascii="Arial" w:cs="Arial" w:eastAsia="Arial" w:hAnsi="Arial"/>
                <w:sz w:val="20"/>
                <w:szCs w:val="20"/>
                <w:color w:val="auto"/>
                <w:w w:val="93"/>
              </w:rPr>
              <w:t>(75,772)</w:t>
            </w:r>
          </w:p>
        </w:tc>
        <w:tc>
          <w:tcPr>
            <w:tcW w:w="6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jc w:val="right"/>
              <w:spacing w:after="0" w:line="223" w:lineRule="exact"/>
              <w:rPr>
                <w:sz w:val="20"/>
                <w:szCs w:val="20"/>
                <w:color w:val="auto"/>
              </w:rPr>
            </w:pPr>
            <w:r>
              <w:rPr>
                <w:rFonts w:ascii="Arial" w:cs="Arial" w:eastAsia="Arial" w:hAnsi="Arial"/>
                <w:sz w:val="20"/>
                <w:szCs w:val="20"/>
                <w:color w:val="auto"/>
              </w:rPr>
              <w:t>$</w:t>
            </w:r>
          </w:p>
        </w:tc>
        <w:tc>
          <w:tcPr>
            <w:tcW w:w="1000" w:type="dxa"/>
            <w:vAlign w:val="bottom"/>
            <w:tcBorders>
              <w:top w:val="single" w:sz="8" w:color="auto"/>
              <w:bottom w:val="single" w:sz="8" w:color="auto"/>
            </w:tcBorders>
            <w:shd w:val="clear" w:color="auto" w:fill="CCEEFF"/>
          </w:tcPr>
          <w:p>
            <w:pPr>
              <w:jc w:val="right"/>
              <w:spacing w:after="0" w:line="223" w:lineRule="exact"/>
              <w:rPr>
                <w:sz w:val="20"/>
                <w:szCs w:val="20"/>
                <w:color w:val="auto"/>
              </w:rPr>
            </w:pPr>
            <w:r>
              <w:rPr>
                <w:rFonts w:ascii="Arial" w:cs="Arial" w:eastAsia="Arial" w:hAnsi="Arial"/>
                <w:sz w:val="20"/>
                <w:szCs w:val="20"/>
                <w:color w:val="auto"/>
              </w:rPr>
              <w:t>-</w:t>
            </w:r>
          </w:p>
        </w:tc>
        <w:tc>
          <w:tcPr>
            <w:tcW w:w="60" w:type="dxa"/>
            <w:vAlign w:val="bottom"/>
            <w:tcBorders>
              <w:top w:val="single" w:sz="8" w:color="CCEEFF"/>
              <w:bottom w:val="single" w:sz="8" w:color="CCEEFF"/>
            </w:tcBorders>
            <w:shd w:val="clear" w:color="auto" w:fill="CCEEFF"/>
          </w:tcPr>
          <w:p>
            <w:pPr>
              <w:spacing w:after="0"/>
              <w:rPr>
                <w:sz w:val="20"/>
                <w:szCs w:val="20"/>
                <w:color w:val="auto"/>
              </w:rPr>
            </w:pPr>
          </w:p>
        </w:tc>
        <w:tc>
          <w:tcPr>
            <w:tcW w:w="980" w:type="dxa"/>
            <w:vAlign w:val="bottom"/>
            <w:tcBorders>
              <w:top w:val="single" w:sz="8" w:color="auto"/>
              <w:bottom w:val="single" w:sz="8" w:color="auto"/>
            </w:tcBorders>
            <w:shd w:val="clear" w:color="auto" w:fill="CCEEFF"/>
          </w:tcPr>
          <w:p>
            <w:pPr>
              <w:jc w:val="right"/>
              <w:spacing w:after="0" w:line="223" w:lineRule="exact"/>
              <w:rPr>
                <w:sz w:val="20"/>
                <w:szCs w:val="20"/>
                <w:color w:val="auto"/>
              </w:rPr>
            </w:pPr>
            <w:r>
              <w:rPr>
                <w:rFonts w:ascii="Arial" w:cs="Arial" w:eastAsia="Arial" w:hAnsi="Arial"/>
                <w:sz w:val="20"/>
                <w:szCs w:val="20"/>
                <w:u w:val="single" w:color="auto"/>
                <w:color w:val="auto"/>
                <w:w w:val="89"/>
              </w:rPr>
              <w:t>$</w:t>
            </w:r>
            <w:r>
              <w:rPr>
                <w:rFonts w:ascii="Arial" w:cs="Arial" w:eastAsia="Arial" w:hAnsi="Arial"/>
                <w:sz w:val="20"/>
                <w:szCs w:val="20"/>
                <w:color w:val="auto"/>
                <w:w w:val="89"/>
              </w:rPr>
              <w:t>2,045,738</w:t>
            </w:r>
          </w:p>
        </w:tc>
      </w:tr>
    </w:tbl>
    <w:p>
      <w:pPr>
        <w:spacing w:after="0" w:line="199" w:lineRule="exact"/>
        <w:rPr>
          <w:sz w:val="20"/>
          <w:szCs w:val="20"/>
          <w:color w:val="auto"/>
        </w:rPr>
      </w:pPr>
    </w:p>
    <w:p>
      <w:pPr>
        <w:ind w:right="140"/>
        <w:spacing w:after="0" w:line="247" w:lineRule="auto"/>
        <w:rPr>
          <w:sz w:val="20"/>
          <w:szCs w:val="20"/>
          <w:color w:val="auto"/>
        </w:rPr>
      </w:pPr>
      <w:r>
        <w:rPr>
          <w:rFonts w:ascii="Arial" w:cs="Arial" w:eastAsia="Arial" w:hAnsi="Arial"/>
          <w:sz w:val="20"/>
          <w:szCs w:val="20"/>
          <w:color w:val="auto"/>
        </w:rPr>
        <w:t xml:space="preserve">Refer to Note 16 - </w:t>
      </w:r>
      <w:r>
        <w:rPr>
          <w:rFonts w:ascii="Arial" w:cs="Arial" w:eastAsia="Arial" w:hAnsi="Arial"/>
          <w:sz w:val="20"/>
          <w:szCs w:val="20"/>
          <w:i w:val="1"/>
          <w:iCs w:val="1"/>
          <w:color w:val="auto"/>
        </w:rPr>
        <w:t>Recent Accounting Pronouncements</w:t>
      </w:r>
      <w:r>
        <w:rPr>
          <w:rFonts w:ascii="Arial" w:cs="Arial" w:eastAsia="Arial" w:hAnsi="Arial"/>
          <w:sz w:val="20"/>
          <w:szCs w:val="20"/>
          <w:color w:val="auto"/>
        </w:rPr>
        <w:t xml:space="preserve"> for a discussion of the cumulative effect of change in accounting principle - financial instruments</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See notes to consolidated financial statements beginning on page 9 of this report.</w:t>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ind w:right="-219"/>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63500</wp:posOffset>
            </wp:positionV>
            <wp:extent cx="6156960" cy="514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156960" cy="51435"/>
                    </a:xfrm>
                    <a:prstGeom prst="rect">
                      <a:avLst/>
                    </a:prstGeom>
                    <a:noFill/>
                  </pic:spPr>
                </pic:pic>
              </a:graphicData>
            </a:graphic>
          </wp:anchor>
        </w:drawing>
      </w:r>
    </w:p>
    <w:p>
      <w:pPr>
        <w:sectPr>
          <w:pgSz w:w="11900" w:h="16838" w:orient="portrait"/>
          <w:cols w:equalWidth="0" w:num="1">
            <w:col w:w="9660"/>
          </w:cols>
          <w:pgMar w:left="1020" w:top="118" w:right="1219" w:bottom="1440" w:gutter="0" w:footer="0" w:header="0"/>
        </w:sectPr>
      </w:pPr>
    </w:p>
    <w:bookmarkStart w:id="9" w:name="page10"/>
    <w:bookmarkEnd w:id="9"/>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9" w:lineRule="exact"/>
        <w:rPr>
          <w:sz w:val="20"/>
          <w:szCs w:val="20"/>
          <w:color w:val="auto"/>
        </w:rPr>
      </w:pPr>
    </w:p>
    <w:p>
      <w:pPr>
        <w:ind w:left="2680"/>
        <w:spacing w:after="0"/>
        <w:rPr>
          <w:sz w:val="20"/>
          <w:szCs w:val="20"/>
          <w:color w:val="auto"/>
        </w:rPr>
      </w:pPr>
      <w:r>
        <w:rPr>
          <w:rFonts w:ascii="Arial" w:cs="Arial" w:eastAsia="Arial" w:hAnsi="Arial"/>
          <w:sz w:val="22"/>
          <w:szCs w:val="22"/>
          <w:color w:val="auto"/>
        </w:rPr>
        <w:t>AQUA AMERICA, INC. AND SUBSIDIARIES</w:t>
      </w:r>
    </w:p>
    <w:p>
      <w:pPr>
        <w:spacing w:after="0" w:line="102" w:lineRule="exact"/>
        <w:rPr>
          <w:sz w:val="20"/>
          <w:szCs w:val="20"/>
          <w:color w:val="auto"/>
        </w:rPr>
      </w:pPr>
    </w:p>
    <w:p>
      <w:pPr>
        <w:ind w:left="2580"/>
        <w:spacing w:after="0"/>
        <w:rPr>
          <w:sz w:val="20"/>
          <w:szCs w:val="20"/>
          <w:color w:val="auto"/>
        </w:rPr>
      </w:pPr>
      <w:r>
        <w:rPr>
          <w:rFonts w:ascii="Arial" w:cs="Arial" w:eastAsia="Arial" w:hAnsi="Arial"/>
          <w:sz w:val="22"/>
          <w:szCs w:val="22"/>
          <w:color w:val="auto"/>
        </w:rPr>
        <w:t>CONSOLIDATED STATEMENTS OF CASH FLOW</w:t>
      </w:r>
    </w:p>
    <w:p>
      <w:pPr>
        <w:ind w:left="3860"/>
        <w:spacing w:after="0" w:line="187" w:lineRule="auto"/>
        <w:rPr>
          <w:sz w:val="20"/>
          <w:szCs w:val="20"/>
          <w:color w:val="auto"/>
        </w:rPr>
      </w:pPr>
      <w:r>
        <w:rPr>
          <w:rFonts w:ascii="Arial" w:cs="Arial" w:eastAsia="Arial" w:hAnsi="Arial"/>
          <w:sz w:val="18"/>
          <w:szCs w:val="18"/>
          <w:color w:val="auto"/>
        </w:rPr>
        <w:t>(In thousands of dollars)</w:t>
      </w:r>
    </w:p>
    <w:p>
      <w:pPr>
        <w:spacing w:after="0" w:line="1" w:lineRule="exact"/>
        <w:rPr>
          <w:sz w:val="20"/>
          <w:szCs w:val="20"/>
          <w:color w:val="auto"/>
        </w:rPr>
      </w:pPr>
    </w:p>
    <w:p>
      <w:pPr>
        <w:ind w:left="4240"/>
        <w:spacing w:after="0"/>
        <w:rPr>
          <w:sz w:val="20"/>
          <w:szCs w:val="20"/>
          <w:color w:val="auto"/>
        </w:rPr>
      </w:pPr>
      <w:r>
        <w:rPr>
          <w:rFonts w:ascii="Arial" w:cs="Arial" w:eastAsia="Arial" w:hAnsi="Arial"/>
          <w:sz w:val="22"/>
          <w:szCs w:val="22"/>
          <w:color w:val="auto"/>
        </w:rPr>
        <w:t>(UNAUDITED)</w:t>
      </w:r>
    </w:p>
    <w:p>
      <w:pPr>
        <w:spacing w:after="0" w:line="200" w:lineRule="exact"/>
        <w:rPr>
          <w:sz w:val="20"/>
          <w:szCs w:val="20"/>
          <w:color w:val="auto"/>
        </w:rPr>
      </w:pP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20" w:type="dxa"/>
            <w:vAlign w:val="bottom"/>
          </w:tcPr>
          <w:p>
            <w:pPr>
              <w:spacing w:after="0"/>
              <w:rPr>
                <w:sz w:val="17"/>
                <w:szCs w:val="17"/>
                <w:color w:val="auto"/>
              </w:rPr>
            </w:pPr>
          </w:p>
        </w:tc>
        <w:tc>
          <w:tcPr>
            <w:tcW w:w="74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940" w:type="dxa"/>
            <w:vAlign w:val="bottom"/>
            <w:gridSpan w:val="4"/>
          </w:tcPr>
          <w:p>
            <w:pPr>
              <w:jc w:val="right"/>
              <w:ind w:right="359"/>
              <w:spacing w:after="0"/>
              <w:rPr>
                <w:sz w:val="20"/>
                <w:szCs w:val="20"/>
                <w:color w:val="auto"/>
              </w:rPr>
            </w:pPr>
            <w:r>
              <w:rPr>
                <w:rFonts w:ascii="Arial" w:cs="Arial" w:eastAsia="Arial" w:hAnsi="Arial"/>
                <w:sz w:val="16"/>
                <w:szCs w:val="16"/>
                <w:color w:val="auto"/>
              </w:rPr>
              <w:t>Nine Months Ended</w:t>
            </w:r>
          </w:p>
        </w:tc>
      </w:tr>
      <w:tr>
        <w:trPr>
          <w:trHeight w:val="246"/>
        </w:trPr>
        <w:tc>
          <w:tcPr>
            <w:tcW w:w="20" w:type="dxa"/>
            <w:vAlign w:val="bottom"/>
          </w:tcPr>
          <w:p>
            <w:pPr>
              <w:spacing w:after="0"/>
              <w:rPr>
                <w:sz w:val="21"/>
                <w:szCs w:val="21"/>
                <w:color w:val="auto"/>
              </w:rPr>
            </w:pPr>
          </w:p>
        </w:tc>
        <w:tc>
          <w:tcPr>
            <w:tcW w:w="744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940" w:type="dxa"/>
            <w:vAlign w:val="bottom"/>
            <w:tcBorders>
              <w:bottom w:val="single" w:sz="8" w:color="auto"/>
            </w:tcBorders>
            <w:gridSpan w:val="4"/>
          </w:tcPr>
          <w:p>
            <w:pPr>
              <w:jc w:val="right"/>
              <w:ind w:right="539"/>
              <w:spacing w:after="0"/>
              <w:rPr>
                <w:sz w:val="20"/>
                <w:szCs w:val="20"/>
                <w:color w:val="auto"/>
              </w:rPr>
            </w:pPr>
            <w:r>
              <w:rPr>
                <w:rFonts w:ascii="Arial" w:cs="Arial" w:eastAsia="Arial" w:hAnsi="Arial"/>
                <w:sz w:val="16"/>
                <w:szCs w:val="16"/>
                <w:color w:val="auto"/>
              </w:rPr>
              <w:t>September 30,</w:t>
            </w:r>
          </w:p>
        </w:tc>
      </w:tr>
      <w:tr>
        <w:trPr>
          <w:trHeight w:val="234"/>
        </w:trPr>
        <w:tc>
          <w:tcPr>
            <w:tcW w:w="20" w:type="dxa"/>
            <w:vAlign w:val="bottom"/>
          </w:tcPr>
          <w:p>
            <w:pPr>
              <w:spacing w:after="0"/>
              <w:rPr>
                <w:sz w:val="20"/>
                <w:szCs w:val="20"/>
                <w:color w:val="auto"/>
              </w:rPr>
            </w:pPr>
          </w:p>
        </w:tc>
        <w:tc>
          <w:tcPr>
            <w:tcW w:w="74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rPr>
              <w:t>2018</w:t>
            </w:r>
          </w:p>
        </w:tc>
        <w:tc>
          <w:tcPr>
            <w:tcW w:w="1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rPr>
              <w:t>2017</w:t>
            </w:r>
          </w:p>
        </w:tc>
      </w:tr>
      <w:tr>
        <w:trPr>
          <w:trHeight w:val="240"/>
        </w:trPr>
        <w:tc>
          <w:tcPr>
            <w:tcW w:w="7460" w:type="dxa"/>
            <w:vAlign w:val="bottom"/>
            <w:gridSpan w:val="2"/>
          </w:tcPr>
          <w:p>
            <w:pPr>
              <w:spacing w:after="0"/>
              <w:rPr>
                <w:sz w:val="20"/>
                <w:szCs w:val="20"/>
                <w:color w:val="auto"/>
              </w:rPr>
            </w:pPr>
            <w:r>
              <w:rPr>
                <w:rFonts w:ascii="Arial" w:cs="Arial" w:eastAsia="Arial" w:hAnsi="Arial"/>
                <w:sz w:val="16"/>
                <w:szCs w:val="16"/>
                <w:color w:val="auto"/>
              </w:rPr>
              <w:t>Cash flows from operating activities:</w:t>
            </w:r>
          </w:p>
        </w:tc>
        <w:tc>
          <w:tcPr>
            <w:tcW w:w="2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60" w:type="dxa"/>
            <w:vAlign w:val="bottom"/>
          </w:tcPr>
          <w:p>
            <w:pPr>
              <w:spacing w:after="0"/>
              <w:rPr>
                <w:sz w:val="20"/>
                <w:szCs w:val="20"/>
                <w:color w:val="auto"/>
              </w:rPr>
            </w:pPr>
          </w:p>
        </w:tc>
      </w:tr>
      <w:tr>
        <w:trPr>
          <w:trHeight w:val="246"/>
        </w:trPr>
        <w:tc>
          <w:tcPr>
            <w:tcW w:w="20" w:type="dxa"/>
            <w:vAlign w:val="bottom"/>
          </w:tcPr>
          <w:p>
            <w:pPr>
              <w:spacing w:after="0"/>
              <w:rPr>
                <w:sz w:val="21"/>
                <w:szCs w:val="21"/>
                <w:color w:val="auto"/>
              </w:rPr>
            </w:pPr>
          </w:p>
        </w:tc>
        <w:tc>
          <w:tcPr>
            <w:tcW w:w="7440" w:type="dxa"/>
            <w:vAlign w:val="bottom"/>
            <w:shd w:val="clear" w:color="auto" w:fill="CCEEFF"/>
          </w:tcPr>
          <w:p>
            <w:pPr>
              <w:ind w:left="100"/>
              <w:spacing w:after="0"/>
              <w:rPr>
                <w:sz w:val="20"/>
                <w:szCs w:val="20"/>
                <w:color w:val="auto"/>
              </w:rPr>
            </w:pPr>
            <w:r>
              <w:rPr>
                <w:rFonts w:ascii="Arial" w:cs="Arial" w:eastAsia="Arial" w:hAnsi="Arial"/>
                <w:sz w:val="16"/>
                <w:szCs w:val="16"/>
                <w:color w:val="auto"/>
              </w:rPr>
              <w:t>Net income</w:t>
            </w:r>
          </w:p>
        </w:tc>
        <w:tc>
          <w:tcPr>
            <w:tcW w:w="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195,645</w:t>
            </w:r>
          </w:p>
        </w:tc>
        <w:tc>
          <w:tcPr>
            <w:tcW w:w="16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186,265</w:t>
            </w:r>
          </w:p>
        </w:tc>
      </w:tr>
      <w:tr>
        <w:trPr>
          <w:trHeight w:val="240"/>
        </w:trPr>
        <w:tc>
          <w:tcPr>
            <w:tcW w:w="7460" w:type="dxa"/>
            <w:vAlign w:val="bottom"/>
            <w:gridSpan w:val="2"/>
          </w:tcPr>
          <w:p>
            <w:pPr>
              <w:spacing w:after="0"/>
              <w:rPr>
                <w:sz w:val="20"/>
                <w:szCs w:val="20"/>
                <w:color w:val="auto"/>
              </w:rPr>
            </w:pPr>
            <w:r>
              <w:rPr>
                <w:rFonts w:ascii="Arial" w:cs="Arial" w:eastAsia="Arial" w:hAnsi="Arial"/>
                <w:sz w:val="16"/>
                <w:szCs w:val="16"/>
                <w:color w:val="auto"/>
              </w:rPr>
              <w:t>Adjustments to reconcile net income to net cash flows from operating activities:</w:t>
            </w:r>
          </w:p>
        </w:tc>
        <w:tc>
          <w:tcPr>
            <w:tcW w:w="2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60" w:type="dxa"/>
            <w:vAlign w:val="bottom"/>
          </w:tcPr>
          <w:p>
            <w:pPr>
              <w:spacing w:after="0"/>
              <w:rPr>
                <w:sz w:val="20"/>
                <w:szCs w:val="20"/>
                <w:color w:val="auto"/>
              </w:rPr>
            </w:pPr>
          </w:p>
        </w:tc>
      </w:tr>
      <w:tr>
        <w:trPr>
          <w:trHeight w:val="246"/>
        </w:trPr>
        <w:tc>
          <w:tcPr>
            <w:tcW w:w="20" w:type="dxa"/>
            <w:vAlign w:val="bottom"/>
          </w:tcPr>
          <w:p>
            <w:pPr>
              <w:spacing w:after="0"/>
              <w:rPr>
                <w:sz w:val="21"/>
                <w:szCs w:val="21"/>
                <w:color w:val="auto"/>
              </w:rPr>
            </w:pPr>
          </w:p>
        </w:tc>
        <w:tc>
          <w:tcPr>
            <w:tcW w:w="7440" w:type="dxa"/>
            <w:vAlign w:val="bottom"/>
            <w:shd w:val="clear" w:color="auto" w:fill="CCEEFF"/>
          </w:tcPr>
          <w:p>
            <w:pPr>
              <w:ind w:left="200"/>
              <w:spacing w:after="0"/>
              <w:rPr>
                <w:sz w:val="20"/>
                <w:szCs w:val="20"/>
                <w:color w:val="auto"/>
              </w:rPr>
            </w:pPr>
            <w:r>
              <w:rPr>
                <w:rFonts w:ascii="Arial" w:cs="Arial" w:eastAsia="Arial" w:hAnsi="Arial"/>
                <w:sz w:val="16"/>
                <w:szCs w:val="16"/>
                <w:color w:val="auto"/>
              </w:rPr>
              <w:t>Depreciation and amortization</w:t>
            </w:r>
          </w:p>
        </w:tc>
        <w:tc>
          <w:tcPr>
            <w:tcW w:w="24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110,515</w:t>
            </w:r>
          </w:p>
        </w:tc>
        <w:tc>
          <w:tcPr>
            <w:tcW w:w="16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101,866</w:t>
            </w:r>
          </w:p>
        </w:tc>
      </w:tr>
      <w:tr>
        <w:trPr>
          <w:trHeight w:val="240"/>
        </w:trPr>
        <w:tc>
          <w:tcPr>
            <w:tcW w:w="20" w:type="dxa"/>
            <w:vAlign w:val="bottom"/>
          </w:tcPr>
          <w:p>
            <w:pPr>
              <w:spacing w:after="0"/>
              <w:rPr>
                <w:sz w:val="20"/>
                <w:szCs w:val="20"/>
                <w:color w:val="auto"/>
              </w:rPr>
            </w:pPr>
          </w:p>
        </w:tc>
        <w:tc>
          <w:tcPr>
            <w:tcW w:w="7440" w:type="dxa"/>
            <w:vAlign w:val="bottom"/>
          </w:tcPr>
          <w:p>
            <w:pPr>
              <w:ind w:left="200"/>
              <w:spacing w:after="0"/>
              <w:rPr>
                <w:sz w:val="20"/>
                <w:szCs w:val="20"/>
                <w:color w:val="auto"/>
              </w:rPr>
            </w:pPr>
            <w:r>
              <w:rPr>
                <w:rFonts w:ascii="Arial" w:cs="Arial" w:eastAsia="Arial" w:hAnsi="Arial"/>
                <w:sz w:val="16"/>
                <w:szCs w:val="16"/>
                <w:color w:val="auto"/>
              </w:rPr>
              <w:t>Deferred income taxes</w:t>
            </w:r>
          </w:p>
        </w:tc>
        <w:tc>
          <w:tcPr>
            <w:tcW w:w="2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81</w:t>
            </w: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9,774</w:t>
            </w:r>
          </w:p>
        </w:tc>
      </w:tr>
      <w:tr>
        <w:trPr>
          <w:trHeight w:val="246"/>
        </w:trPr>
        <w:tc>
          <w:tcPr>
            <w:tcW w:w="20" w:type="dxa"/>
            <w:vAlign w:val="bottom"/>
          </w:tcPr>
          <w:p>
            <w:pPr>
              <w:spacing w:after="0"/>
              <w:rPr>
                <w:sz w:val="21"/>
                <w:szCs w:val="21"/>
                <w:color w:val="auto"/>
              </w:rPr>
            </w:pPr>
          </w:p>
        </w:tc>
        <w:tc>
          <w:tcPr>
            <w:tcW w:w="7440" w:type="dxa"/>
            <w:vAlign w:val="bottom"/>
            <w:shd w:val="clear" w:color="auto" w:fill="CCEEFF"/>
          </w:tcPr>
          <w:p>
            <w:pPr>
              <w:ind w:left="200"/>
              <w:spacing w:after="0"/>
              <w:rPr>
                <w:sz w:val="20"/>
                <w:szCs w:val="20"/>
                <w:color w:val="auto"/>
              </w:rPr>
            </w:pPr>
            <w:r>
              <w:rPr>
                <w:rFonts w:ascii="Arial" w:cs="Arial" w:eastAsia="Arial" w:hAnsi="Arial"/>
                <w:sz w:val="16"/>
                <w:szCs w:val="16"/>
                <w:color w:val="auto"/>
              </w:rPr>
              <w:t>Provision for doubtful accounts</w:t>
            </w:r>
          </w:p>
        </w:tc>
        <w:tc>
          <w:tcPr>
            <w:tcW w:w="24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3,645</w:t>
            </w:r>
          </w:p>
        </w:tc>
        <w:tc>
          <w:tcPr>
            <w:tcW w:w="16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3,476</w:t>
            </w:r>
          </w:p>
        </w:tc>
      </w:tr>
      <w:tr>
        <w:trPr>
          <w:trHeight w:val="240"/>
        </w:trPr>
        <w:tc>
          <w:tcPr>
            <w:tcW w:w="20" w:type="dxa"/>
            <w:vAlign w:val="bottom"/>
          </w:tcPr>
          <w:p>
            <w:pPr>
              <w:spacing w:after="0"/>
              <w:rPr>
                <w:sz w:val="20"/>
                <w:szCs w:val="20"/>
                <w:color w:val="auto"/>
              </w:rPr>
            </w:pPr>
          </w:p>
        </w:tc>
        <w:tc>
          <w:tcPr>
            <w:tcW w:w="7440" w:type="dxa"/>
            <w:vAlign w:val="bottom"/>
          </w:tcPr>
          <w:p>
            <w:pPr>
              <w:ind w:left="200"/>
              <w:spacing w:after="0"/>
              <w:rPr>
                <w:sz w:val="20"/>
                <w:szCs w:val="20"/>
                <w:color w:val="auto"/>
              </w:rPr>
            </w:pPr>
            <w:r>
              <w:rPr>
                <w:rFonts w:ascii="Arial" w:cs="Arial" w:eastAsia="Arial" w:hAnsi="Arial"/>
                <w:sz w:val="16"/>
                <w:szCs w:val="16"/>
                <w:color w:val="auto"/>
              </w:rPr>
              <w:t>Stock-based compensation</w:t>
            </w:r>
          </w:p>
        </w:tc>
        <w:tc>
          <w:tcPr>
            <w:tcW w:w="2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5,331</w:t>
            </w: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4,379</w:t>
            </w:r>
          </w:p>
        </w:tc>
      </w:tr>
      <w:tr>
        <w:trPr>
          <w:trHeight w:val="246"/>
        </w:trPr>
        <w:tc>
          <w:tcPr>
            <w:tcW w:w="20" w:type="dxa"/>
            <w:vAlign w:val="bottom"/>
          </w:tcPr>
          <w:p>
            <w:pPr>
              <w:spacing w:after="0"/>
              <w:rPr>
                <w:sz w:val="21"/>
                <w:szCs w:val="21"/>
                <w:color w:val="auto"/>
              </w:rPr>
            </w:pPr>
          </w:p>
        </w:tc>
        <w:tc>
          <w:tcPr>
            <w:tcW w:w="7440" w:type="dxa"/>
            <w:vAlign w:val="bottom"/>
            <w:shd w:val="clear" w:color="auto" w:fill="CCEEFF"/>
          </w:tcPr>
          <w:p>
            <w:pPr>
              <w:ind w:left="200"/>
              <w:spacing w:after="0"/>
              <w:rPr>
                <w:sz w:val="20"/>
                <w:szCs w:val="20"/>
                <w:color w:val="auto"/>
              </w:rPr>
            </w:pPr>
            <w:r>
              <w:rPr>
                <w:rFonts w:ascii="Arial" w:cs="Arial" w:eastAsia="Arial" w:hAnsi="Arial"/>
                <w:sz w:val="16"/>
                <w:szCs w:val="16"/>
                <w:color w:val="auto"/>
              </w:rPr>
              <w:t>Loss on sale of market-based business unit</w:t>
            </w:r>
          </w:p>
        </w:tc>
        <w:tc>
          <w:tcPr>
            <w:tcW w:w="24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324</w:t>
            </w:r>
          </w:p>
        </w:tc>
      </w:tr>
      <w:tr>
        <w:trPr>
          <w:trHeight w:val="240"/>
        </w:trPr>
        <w:tc>
          <w:tcPr>
            <w:tcW w:w="20" w:type="dxa"/>
            <w:vAlign w:val="bottom"/>
          </w:tcPr>
          <w:p>
            <w:pPr>
              <w:spacing w:after="0"/>
              <w:rPr>
                <w:sz w:val="20"/>
                <w:szCs w:val="20"/>
                <w:color w:val="auto"/>
              </w:rPr>
            </w:pPr>
          </w:p>
        </w:tc>
        <w:tc>
          <w:tcPr>
            <w:tcW w:w="7440" w:type="dxa"/>
            <w:vAlign w:val="bottom"/>
          </w:tcPr>
          <w:p>
            <w:pPr>
              <w:ind w:left="200"/>
              <w:spacing w:after="0"/>
              <w:rPr>
                <w:sz w:val="20"/>
                <w:szCs w:val="20"/>
                <w:color w:val="auto"/>
              </w:rPr>
            </w:pPr>
            <w:r>
              <w:rPr>
                <w:rFonts w:ascii="Arial" w:cs="Arial" w:eastAsia="Arial" w:hAnsi="Arial"/>
                <w:sz w:val="16"/>
                <w:szCs w:val="16"/>
                <w:color w:val="auto"/>
              </w:rPr>
              <w:t>Gain on sale of other assets</w:t>
            </w:r>
          </w:p>
        </w:tc>
        <w:tc>
          <w:tcPr>
            <w:tcW w:w="2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(598)</w:t>
            </w: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(322)</w:t>
            </w:r>
          </w:p>
        </w:tc>
      </w:tr>
      <w:tr>
        <w:trPr>
          <w:trHeight w:val="246"/>
        </w:trPr>
        <w:tc>
          <w:tcPr>
            <w:tcW w:w="20" w:type="dxa"/>
            <w:vAlign w:val="bottom"/>
          </w:tcPr>
          <w:p>
            <w:pPr>
              <w:spacing w:after="0"/>
              <w:rPr>
                <w:sz w:val="21"/>
                <w:szCs w:val="21"/>
                <w:color w:val="auto"/>
              </w:rPr>
            </w:pPr>
          </w:p>
        </w:tc>
        <w:tc>
          <w:tcPr>
            <w:tcW w:w="7440" w:type="dxa"/>
            <w:vAlign w:val="bottom"/>
            <w:shd w:val="clear" w:color="auto" w:fill="CCEEFF"/>
          </w:tcPr>
          <w:p>
            <w:pPr>
              <w:ind w:left="200"/>
              <w:spacing w:after="0"/>
              <w:rPr>
                <w:sz w:val="20"/>
                <w:szCs w:val="20"/>
                <w:color w:val="auto"/>
              </w:rPr>
            </w:pPr>
            <w:r>
              <w:rPr>
                <w:rFonts w:ascii="Arial" w:cs="Arial" w:eastAsia="Arial" w:hAnsi="Arial"/>
                <w:sz w:val="16"/>
                <w:szCs w:val="16"/>
                <w:color w:val="auto"/>
              </w:rPr>
              <w:t>Net change in receivables, inventory and prepayments</w:t>
            </w:r>
          </w:p>
        </w:tc>
        <w:tc>
          <w:tcPr>
            <w:tcW w:w="24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(18,058)</w:t>
            </w:r>
          </w:p>
        </w:tc>
        <w:tc>
          <w:tcPr>
            <w:tcW w:w="16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(13,550)</w:t>
            </w:r>
          </w:p>
        </w:tc>
      </w:tr>
      <w:tr>
        <w:trPr>
          <w:trHeight w:val="240"/>
        </w:trPr>
        <w:tc>
          <w:tcPr>
            <w:tcW w:w="20" w:type="dxa"/>
            <w:vAlign w:val="bottom"/>
          </w:tcPr>
          <w:p>
            <w:pPr>
              <w:spacing w:after="0"/>
              <w:rPr>
                <w:sz w:val="20"/>
                <w:szCs w:val="20"/>
                <w:color w:val="auto"/>
              </w:rPr>
            </w:pPr>
          </w:p>
        </w:tc>
        <w:tc>
          <w:tcPr>
            <w:tcW w:w="7440" w:type="dxa"/>
            <w:vAlign w:val="bottom"/>
          </w:tcPr>
          <w:p>
            <w:pPr>
              <w:ind w:left="200"/>
              <w:spacing w:after="0"/>
              <w:rPr>
                <w:sz w:val="20"/>
                <w:szCs w:val="20"/>
                <w:color w:val="auto"/>
              </w:rPr>
            </w:pPr>
            <w:r>
              <w:rPr>
                <w:rFonts w:ascii="Arial" w:cs="Arial" w:eastAsia="Arial" w:hAnsi="Arial"/>
                <w:sz w:val="16"/>
                <w:szCs w:val="16"/>
                <w:color w:val="auto"/>
              </w:rPr>
              <w:t>Net change in payables, accrued interest, accrued taxes and other accrued liabilities</w:t>
            </w:r>
          </w:p>
        </w:tc>
        <w:tc>
          <w:tcPr>
            <w:tcW w:w="2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4,330</w:t>
            </w: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3,705</w:t>
            </w:r>
          </w:p>
        </w:tc>
      </w:tr>
      <w:tr>
        <w:trPr>
          <w:trHeight w:val="246"/>
        </w:trPr>
        <w:tc>
          <w:tcPr>
            <w:tcW w:w="20" w:type="dxa"/>
            <w:vAlign w:val="bottom"/>
          </w:tcPr>
          <w:p>
            <w:pPr>
              <w:spacing w:after="0"/>
              <w:rPr>
                <w:sz w:val="21"/>
                <w:szCs w:val="21"/>
                <w:color w:val="auto"/>
              </w:rPr>
            </w:pPr>
          </w:p>
        </w:tc>
        <w:tc>
          <w:tcPr>
            <w:tcW w:w="7440" w:type="dxa"/>
            <w:vAlign w:val="bottom"/>
            <w:shd w:val="clear" w:color="auto" w:fill="CCEEFF"/>
          </w:tcPr>
          <w:p>
            <w:pPr>
              <w:ind w:left="200"/>
              <w:spacing w:after="0"/>
              <w:rPr>
                <w:sz w:val="20"/>
                <w:szCs w:val="20"/>
                <w:color w:val="auto"/>
              </w:rPr>
            </w:pPr>
            <w:r>
              <w:rPr>
                <w:rFonts w:ascii="Arial" w:cs="Arial" w:eastAsia="Arial" w:hAnsi="Arial"/>
                <w:sz w:val="16"/>
                <w:szCs w:val="16"/>
                <w:color w:val="auto"/>
              </w:rPr>
              <w:t>Pension and other postretirement benefits contributions</w:t>
            </w:r>
          </w:p>
        </w:tc>
        <w:tc>
          <w:tcPr>
            <w:tcW w:w="24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(12,571)</w:t>
            </w:r>
          </w:p>
        </w:tc>
        <w:tc>
          <w:tcPr>
            <w:tcW w:w="16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(15,421)</w:t>
            </w:r>
          </w:p>
        </w:tc>
      </w:tr>
      <w:tr>
        <w:trPr>
          <w:trHeight w:val="240"/>
        </w:trPr>
        <w:tc>
          <w:tcPr>
            <w:tcW w:w="20" w:type="dxa"/>
            <w:vAlign w:val="bottom"/>
          </w:tcPr>
          <w:p>
            <w:pPr>
              <w:spacing w:after="0"/>
              <w:rPr>
                <w:sz w:val="20"/>
                <w:szCs w:val="20"/>
                <w:color w:val="auto"/>
              </w:rPr>
            </w:pPr>
          </w:p>
        </w:tc>
        <w:tc>
          <w:tcPr>
            <w:tcW w:w="7440" w:type="dxa"/>
            <w:vAlign w:val="bottom"/>
            <w:tcBorders>
              <w:bottom w:val="single" w:sz="8" w:color="CCEEFF"/>
            </w:tcBorders>
          </w:tcPr>
          <w:p>
            <w:pPr>
              <w:ind w:left="200"/>
              <w:spacing w:after="0"/>
              <w:rPr>
                <w:sz w:val="20"/>
                <w:szCs w:val="20"/>
                <w:color w:val="auto"/>
              </w:rPr>
            </w:pPr>
            <w:r>
              <w:rPr>
                <w:rFonts w:ascii="Arial" w:cs="Arial" w:eastAsia="Arial" w:hAnsi="Arial"/>
                <w:sz w:val="16"/>
                <w:szCs w:val="16"/>
                <w:color w:val="auto"/>
              </w:rPr>
              <w:t>Other</w:t>
            </w:r>
          </w:p>
        </w:tc>
        <w:tc>
          <w:tcPr>
            <w:tcW w:w="24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2,409</w:t>
            </w:r>
          </w:p>
        </w:tc>
        <w:tc>
          <w:tcPr>
            <w:tcW w:w="16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1,565</w:t>
            </w:r>
          </w:p>
        </w:tc>
      </w:tr>
      <w:tr>
        <w:trPr>
          <w:trHeight w:val="240"/>
        </w:trPr>
        <w:tc>
          <w:tcPr>
            <w:tcW w:w="20" w:type="dxa"/>
            <w:vAlign w:val="bottom"/>
          </w:tcPr>
          <w:p>
            <w:pPr>
              <w:spacing w:after="0"/>
              <w:rPr>
                <w:sz w:val="20"/>
                <w:szCs w:val="20"/>
                <w:color w:val="auto"/>
              </w:rPr>
            </w:pPr>
          </w:p>
        </w:tc>
        <w:tc>
          <w:tcPr>
            <w:tcW w:w="7440" w:type="dxa"/>
            <w:vAlign w:val="bottom"/>
            <w:shd w:val="clear" w:color="auto" w:fill="CCEEFF"/>
          </w:tcPr>
          <w:p>
            <w:pPr>
              <w:spacing w:after="0"/>
              <w:rPr>
                <w:sz w:val="20"/>
                <w:szCs w:val="20"/>
                <w:color w:val="auto"/>
              </w:rPr>
            </w:pPr>
            <w:r>
              <w:rPr>
                <w:rFonts w:ascii="Arial" w:cs="Arial" w:eastAsia="Arial" w:hAnsi="Arial"/>
                <w:sz w:val="16"/>
                <w:szCs w:val="16"/>
                <w:color w:val="auto"/>
              </w:rPr>
              <w:t>Net cash flows from operating activities</w:t>
            </w:r>
          </w:p>
        </w:tc>
        <w:tc>
          <w:tcPr>
            <w:tcW w:w="240" w:type="dxa"/>
            <w:vAlign w:val="bottom"/>
            <w:tcBorders>
              <w:bottom w:val="single" w:sz="8" w:color="auto"/>
            </w:tcBorders>
            <w:shd w:val="clear" w:color="auto" w:fill="CCEEFF"/>
          </w:tcPr>
          <w:p>
            <w:pPr>
              <w:spacing w:after="0"/>
              <w:rPr>
                <w:sz w:val="20"/>
                <w:szCs w:val="20"/>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290,729</w:t>
            </w:r>
          </w:p>
        </w:tc>
        <w:tc>
          <w:tcPr>
            <w:tcW w:w="160" w:type="dxa"/>
            <w:vAlign w:val="bottom"/>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282,061</w:t>
            </w:r>
          </w:p>
        </w:tc>
      </w:tr>
      <w:tr>
        <w:trPr>
          <w:trHeight w:val="234"/>
        </w:trPr>
        <w:tc>
          <w:tcPr>
            <w:tcW w:w="7460" w:type="dxa"/>
            <w:vAlign w:val="bottom"/>
            <w:gridSpan w:val="2"/>
          </w:tcPr>
          <w:p>
            <w:pPr>
              <w:spacing w:after="0"/>
              <w:rPr>
                <w:sz w:val="20"/>
                <w:szCs w:val="20"/>
                <w:color w:val="auto"/>
              </w:rPr>
            </w:pPr>
            <w:r>
              <w:rPr>
                <w:rFonts w:ascii="Arial" w:cs="Arial" w:eastAsia="Arial" w:hAnsi="Arial"/>
                <w:sz w:val="16"/>
                <w:szCs w:val="16"/>
                <w:color w:val="auto"/>
              </w:rPr>
              <w:t>Cash flows from investing activities:</w:t>
            </w:r>
          </w:p>
        </w:tc>
        <w:tc>
          <w:tcPr>
            <w:tcW w:w="2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60" w:type="dxa"/>
            <w:vAlign w:val="bottom"/>
          </w:tcPr>
          <w:p>
            <w:pPr>
              <w:spacing w:after="0"/>
              <w:rPr>
                <w:sz w:val="20"/>
                <w:szCs w:val="20"/>
                <w:color w:val="auto"/>
              </w:rPr>
            </w:pPr>
          </w:p>
        </w:tc>
      </w:tr>
      <w:tr>
        <w:trPr>
          <w:trHeight w:val="196"/>
        </w:trPr>
        <w:tc>
          <w:tcPr>
            <w:tcW w:w="20" w:type="dxa"/>
            <w:vAlign w:val="bottom"/>
          </w:tcPr>
          <w:p>
            <w:pPr>
              <w:spacing w:after="0"/>
              <w:rPr>
                <w:sz w:val="17"/>
                <w:szCs w:val="17"/>
                <w:color w:val="auto"/>
              </w:rPr>
            </w:pPr>
          </w:p>
        </w:tc>
        <w:tc>
          <w:tcPr>
            <w:tcW w:w="7440" w:type="dxa"/>
            <w:vAlign w:val="bottom"/>
            <w:shd w:val="clear" w:color="auto" w:fill="CCEEFF"/>
          </w:tcPr>
          <w:p>
            <w:pPr>
              <w:ind w:left="100"/>
              <w:spacing w:after="0"/>
              <w:rPr>
                <w:sz w:val="20"/>
                <w:szCs w:val="20"/>
                <w:color w:val="auto"/>
              </w:rPr>
            </w:pPr>
            <w:r>
              <w:rPr>
                <w:rFonts w:ascii="Arial" w:cs="Arial" w:eastAsia="Arial" w:hAnsi="Arial"/>
                <w:sz w:val="16"/>
                <w:szCs w:val="16"/>
                <w:color w:val="auto"/>
                <w:w w:val="97"/>
              </w:rPr>
              <w:t>Property, plant and equipment additions, including the debt component of allowance for funds used during</w:t>
            </w:r>
          </w:p>
        </w:tc>
        <w:tc>
          <w:tcPr>
            <w:tcW w:w="2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r>
      <w:tr>
        <w:trPr>
          <w:trHeight w:val="212"/>
        </w:trPr>
        <w:tc>
          <w:tcPr>
            <w:tcW w:w="20" w:type="dxa"/>
            <w:vAlign w:val="bottom"/>
          </w:tcPr>
          <w:p>
            <w:pPr>
              <w:spacing w:after="0"/>
              <w:rPr>
                <w:sz w:val="18"/>
                <w:szCs w:val="18"/>
                <w:color w:val="auto"/>
              </w:rPr>
            </w:pPr>
          </w:p>
        </w:tc>
        <w:tc>
          <w:tcPr>
            <w:tcW w:w="7440" w:type="dxa"/>
            <w:vAlign w:val="bottom"/>
            <w:shd w:val="clear" w:color="auto" w:fill="CCEEFF"/>
          </w:tcPr>
          <w:p>
            <w:pPr>
              <w:ind w:left="100"/>
              <w:spacing w:after="0"/>
              <w:rPr>
                <w:sz w:val="20"/>
                <w:szCs w:val="20"/>
                <w:color w:val="auto"/>
              </w:rPr>
            </w:pPr>
            <w:r>
              <w:rPr>
                <w:rFonts w:ascii="Arial" w:cs="Arial" w:eastAsia="Arial" w:hAnsi="Arial"/>
                <w:sz w:val="16"/>
                <w:szCs w:val="16"/>
                <w:color w:val="auto"/>
              </w:rPr>
              <w:t>construction of $2,550 and $2,533</w:t>
            </w: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(343,219)</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(337,731)</w:t>
            </w:r>
          </w:p>
        </w:tc>
      </w:tr>
      <w:tr>
        <w:trPr>
          <w:trHeight w:val="240"/>
        </w:trPr>
        <w:tc>
          <w:tcPr>
            <w:tcW w:w="20" w:type="dxa"/>
            <w:vAlign w:val="bottom"/>
          </w:tcPr>
          <w:p>
            <w:pPr>
              <w:spacing w:after="0"/>
              <w:rPr>
                <w:sz w:val="20"/>
                <w:szCs w:val="20"/>
                <w:color w:val="auto"/>
              </w:rPr>
            </w:pPr>
          </w:p>
        </w:tc>
        <w:tc>
          <w:tcPr>
            <w:tcW w:w="7440" w:type="dxa"/>
            <w:vAlign w:val="bottom"/>
          </w:tcPr>
          <w:p>
            <w:pPr>
              <w:ind w:left="100"/>
              <w:spacing w:after="0"/>
              <w:rPr>
                <w:sz w:val="20"/>
                <w:szCs w:val="20"/>
                <w:color w:val="auto"/>
              </w:rPr>
            </w:pPr>
            <w:r>
              <w:rPr>
                <w:rFonts w:ascii="Arial" w:cs="Arial" w:eastAsia="Arial" w:hAnsi="Arial"/>
                <w:sz w:val="16"/>
                <w:szCs w:val="16"/>
                <w:color w:val="auto"/>
              </w:rPr>
              <w:t>Acquisitions of utility systems, net</w:t>
            </w:r>
          </w:p>
        </w:tc>
        <w:tc>
          <w:tcPr>
            <w:tcW w:w="2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(100,026)</w:t>
            </w: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(5,860)</w:t>
            </w:r>
          </w:p>
        </w:tc>
      </w:tr>
      <w:tr>
        <w:trPr>
          <w:trHeight w:val="246"/>
        </w:trPr>
        <w:tc>
          <w:tcPr>
            <w:tcW w:w="20" w:type="dxa"/>
            <w:vAlign w:val="bottom"/>
          </w:tcPr>
          <w:p>
            <w:pPr>
              <w:spacing w:after="0"/>
              <w:rPr>
                <w:sz w:val="21"/>
                <w:szCs w:val="21"/>
                <w:color w:val="auto"/>
              </w:rPr>
            </w:pPr>
          </w:p>
        </w:tc>
        <w:tc>
          <w:tcPr>
            <w:tcW w:w="7440" w:type="dxa"/>
            <w:vAlign w:val="bottom"/>
            <w:shd w:val="clear" w:color="auto" w:fill="CCEEFF"/>
          </w:tcPr>
          <w:p>
            <w:pPr>
              <w:ind w:left="100"/>
              <w:spacing w:after="0"/>
              <w:rPr>
                <w:sz w:val="20"/>
                <w:szCs w:val="20"/>
                <w:color w:val="auto"/>
              </w:rPr>
            </w:pPr>
            <w:r>
              <w:rPr>
                <w:rFonts w:ascii="Arial" w:cs="Arial" w:eastAsia="Arial" w:hAnsi="Arial"/>
                <w:sz w:val="16"/>
                <w:szCs w:val="16"/>
                <w:color w:val="auto"/>
              </w:rPr>
              <w:t>Net proceeds from the sale of market-based business unit and other assets</w:t>
            </w:r>
          </w:p>
        </w:tc>
        <w:tc>
          <w:tcPr>
            <w:tcW w:w="24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604</w:t>
            </w:r>
          </w:p>
        </w:tc>
        <w:tc>
          <w:tcPr>
            <w:tcW w:w="16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1,144</w:t>
            </w:r>
          </w:p>
        </w:tc>
      </w:tr>
      <w:tr>
        <w:trPr>
          <w:trHeight w:val="240"/>
        </w:trPr>
        <w:tc>
          <w:tcPr>
            <w:tcW w:w="20" w:type="dxa"/>
            <w:vAlign w:val="bottom"/>
          </w:tcPr>
          <w:p>
            <w:pPr>
              <w:spacing w:after="0"/>
              <w:rPr>
                <w:sz w:val="20"/>
                <w:szCs w:val="20"/>
                <w:color w:val="auto"/>
              </w:rPr>
            </w:pPr>
          </w:p>
        </w:tc>
        <w:tc>
          <w:tcPr>
            <w:tcW w:w="7440" w:type="dxa"/>
            <w:vAlign w:val="bottom"/>
            <w:tcBorders>
              <w:bottom w:val="single" w:sz="8" w:color="CCEEFF"/>
            </w:tcBorders>
          </w:tcPr>
          <w:p>
            <w:pPr>
              <w:ind w:left="100"/>
              <w:spacing w:after="0"/>
              <w:rPr>
                <w:sz w:val="20"/>
                <w:szCs w:val="20"/>
                <w:color w:val="auto"/>
              </w:rPr>
            </w:pPr>
            <w:r>
              <w:rPr>
                <w:rFonts w:ascii="Arial" w:cs="Arial" w:eastAsia="Arial" w:hAnsi="Arial"/>
                <w:sz w:val="16"/>
                <w:szCs w:val="16"/>
                <w:color w:val="auto"/>
              </w:rPr>
              <w:t>Other</w:t>
            </w:r>
          </w:p>
        </w:tc>
        <w:tc>
          <w:tcPr>
            <w:tcW w:w="24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551</w:t>
            </w:r>
          </w:p>
        </w:tc>
        <w:tc>
          <w:tcPr>
            <w:tcW w:w="16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1,448</w:t>
            </w:r>
          </w:p>
        </w:tc>
      </w:tr>
      <w:tr>
        <w:trPr>
          <w:trHeight w:val="240"/>
        </w:trPr>
        <w:tc>
          <w:tcPr>
            <w:tcW w:w="20" w:type="dxa"/>
            <w:vAlign w:val="bottom"/>
          </w:tcPr>
          <w:p>
            <w:pPr>
              <w:spacing w:after="0"/>
              <w:rPr>
                <w:sz w:val="20"/>
                <w:szCs w:val="20"/>
                <w:color w:val="auto"/>
              </w:rPr>
            </w:pPr>
          </w:p>
        </w:tc>
        <w:tc>
          <w:tcPr>
            <w:tcW w:w="7440" w:type="dxa"/>
            <w:vAlign w:val="bottom"/>
            <w:shd w:val="clear" w:color="auto" w:fill="CCEEFF"/>
          </w:tcPr>
          <w:p>
            <w:pPr>
              <w:spacing w:after="0"/>
              <w:rPr>
                <w:sz w:val="20"/>
                <w:szCs w:val="20"/>
                <w:color w:val="auto"/>
              </w:rPr>
            </w:pPr>
            <w:r>
              <w:rPr>
                <w:rFonts w:ascii="Arial" w:cs="Arial" w:eastAsia="Arial" w:hAnsi="Arial"/>
                <w:sz w:val="16"/>
                <w:szCs w:val="16"/>
                <w:color w:val="auto"/>
              </w:rPr>
              <w:t>Net cash flows used in investing activities</w:t>
            </w:r>
          </w:p>
        </w:tc>
        <w:tc>
          <w:tcPr>
            <w:tcW w:w="240" w:type="dxa"/>
            <w:vAlign w:val="bottom"/>
            <w:tcBorders>
              <w:bottom w:val="single" w:sz="8" w:color="auto"/>
            </w:tcBorders>
            <w:shd w:val="clear" w:color="auto" w:fill="CCEEFF"/>
          </w:tcPr>
          <w:p>
            <w:pPr>
              <w:spacing w:after="0"/>
              <w:rPr>
                <w:sz w:val="20"/>
                <w:szCs w:val="20"/>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(442,090)</w:t>
            </w:r>
          </w:p>
        </w:tc>
        <w:tc>
          <w:tcPr>
            <w:tcW w:w="160" w:type="dxa"/>
            <w:vAlign w:val="bottom"/>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(340,999)</w:t>
            </w:r>
          </w:p>
        </w:tc>
      </w:tr>
      <w:tr>
        <w:trPr>
          <w:trHeight w:val="234"/>
        </w:trPr>
        <w:tc>
          <w:tcPr>
            <w:tcW w:w="7460" w:type="dxa"/>
            <w:vAlign w:val="bottom"/>
            <w:gridSpan w:val="2"/>
          </w:tcPr>
          <w:p>
            <w:pPr>
              <w:spacing w:after="0"/>
              <w:rPr>
                <w:sz w:val="20"/>
                <w:szCs w:val="20"/>
                <w:color w:val="auto"/>
              </w:rPr>
            </w:pPr>
            <w:r>
              <w:rPr>
                <w:rFonts w:ascii="Arial" w:cs="Arial" w:eastAsia="Arial" w:hAnsi="Arial"/>
                <w:sz w:val="16"/>
                <w:szCs w:val="16"/>
                <w:color w:val="auto"/>
              </w:rPr>
              <w:t>Cash flows from financing activities:</w:t>
            </w:r>
          </w:p>
        </w:tc>
        <w:tc>
          <w:tcPr>
            <w:tcW w:w="2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60" w:type="dxa"/>
            <w:vAlign w:val="bottom"/>
          </w:tcPr>
          <w:p>
            <w:pPr>
              <w:spacing w:after="0"/>
              <w:rPr>
                <w:sz w:val="20"/>
                <w:szCs w:val="20"/>
                <w:color w:val="auto"/>
              </w:rPr>
            </w:pPr>
          </w:p>
        </w:tc>
      </w:tr>
      <w:tr>
        <w:trPr>
          <w:trHeight w:val="246"/>
        </w:trPr>
        <w:tc>
          <w:tcPr>
            <w:tcW w:w="20" w:type="dxa"/>
            <w:vAlign w:val="bottom"/>
          </w:tcPr>
          <w:p>
            <w:pPr>
              <w:spacing w:after="0"/>
              <w:rPr>
                <w:sz w:val="21"/>
                <w:szCs w:val="21"/>
                <w:color w:val="auto"/>
              </w:rPr>
            </w:pPr>
          </w:p>
        </w:tc>
        <w:tc>
          <w:tcPr>
            <w:tcW w:w="7440" w:type="dxa"/>
            <w:vAlign w:val="bottom"/>
            <w:shd w:val="clear" w:color="auto" w:fill="CCEEFF"/>
          </w:tcPr>
          <w:p>
            <w:pPr>
              <w:ind w:left="100"/>
              <w:spacing w:after="0"/>
              <w:rPr>
                <w:sz w:val="20"/>
                <w:szCs w:val="20"/>
                <w:color w:val="auto"/>
              </w:rPr>
            </w:pPr>
            <w:r>
              <w:rPr>
                <w:rFonts w:ascii="Arial" w:cs="Arial" w:eastAsia="Arial" w:hAnsi="Arial"/>
                <w:sz w:val="16"/>
                <w:szCs w:val="16"/>
                <w:color w:val="auto"/>
              </w:rPr>
              <w:t>Customers' advances and contributions in aid of construction</w:t>
            </w:r>
          </w:p>
        </w:tc>
        <w:tc>
          <w:tcPr>
            <w:tcW w:w="24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6,031</w:t>
            </w:r>
          </w:p>
        </w:tc>
        <w:tc>
          <w:tcPr>
            <w:tcW w:w="16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5,648</w:t>
            </w:r>
          </w:p>
        </w:tc>
      </w:tr>
      <w:tr>
        <w:trPr>
          <w:trHeight w:val="240"/>
        </w:trPr>
        <w:tc>
          <w:tcPr>
            <w:tcW w:w="20" w:type="dxa"/>
            <w:vAlign w:val="bottom"/>
          </w:tcPr>
          <w:p>
            <w:pPr>
              <w:spacing w:after="0"/>
              <w:rPr>
                <w:sz w:val="20"/>
                <w:szCs w:val="20"/>
                <w:color w:val="auto"/>
              </w:rPr>
            </w:pPr>
          </w:p>
        </w:tc>
        <w:tc>
          <w:tcPr>
            <w:tcW w:w="7440" w:type="dxa"/>
            <w:vAlign w:val="bottom"/>
          </w:tcPr>
          <w:p>
            <w:pPr>
              <w:ind w:left="100"/>
              <w:spacing w:after="0"/>
              <w:rPr>
                <w:sz w:val="20"/>
                <w:szCs w:val="20"/>
                <w:color w:val="auto"/>
              </w:rPr>
            </w:pPr>
            <w:r>
              <w:rPr>
                <w:rFonts w:ascii="Arial" w:cs="Arial" w:eastAsia="Arial" w:hAnsi="Arial"/>
                <w:sz w:val="16"/>
                <w:szCs w:val="16"/>
                <w:color w:val="auto"/>
              </w:rPr>
              <w:t>Repayments of customers' advances</w:t>
            </w:r>
          </w:p>
        </w:tc>
        <w:tc>
          <w:tcPr>
            <w:tcW w:w="2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(2,763)</w:t>
            </w: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(3,519)</w:t>
            </w:r>
          </w:p>
        </w:tc>
      </w:tr>
      <w:tr>
        <w:trPr>
          <w:trHeight w:val="246"/>
        </w:trPr>
        <w:tc>
          <w:tcPr>
            <w:tcW w:w="20" w:type="dxa"/>
            <w:vAlign w:val="bottom"/>
          </w:tcPr>
          <w:p>
            <w:pPr>
              <w:spacing w:after="0"/>
              <w:rPr>
                <w:sz w:val="21"/>
                <w:szCs w:val="21"/>
                <w:color w:val="auto"/>
              </w:rPr>
            </w:pPr>
          </w:p>
        </w:tc>
        <w:tc>
          <w:tcPr>
            <w:tcW w:w="7440" w:type="dxa"/>
            <w:vAlign w:val="bottom"/>
            <w:shd w:val="clear" w:color="auto" w:fill="CCEEFF"/>
          </w:tcPr>
          <w:p>
            <w:pPr>
              <w:ind w:left="100"/>
              <w:spacing w:after="0"/>
              <w:rPr>
                <w:sz w:val="20"/>
                <w:szCs w:val="20"/>
                <w:color w:val="auto"/>
              </w:rPr>
            </w:pPr>
            <w:r>
              <w:rPr>
                <w:rFonts w:ascii="Arial" w:cs="Arial" w:eastAsia="Arial" w:hAnsi="Arial"/>
                <w:sz w:val="16"/>
                <w:szCs w:val="16"/>
                <w:color w:val="auto"/>
              </w:rPr>
              <w:t>Net proceeds of short-term debt</w:t>
            </w:r>
          </w:p>
        </w:tc>
        <w:tc>
          <w:tcPr>
            <w:tcW w:w="24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18,039</w:t>
            </w:r>
          </w:p>
        </w:tc>
        <w:tc>
          <w:tcPr>
            <w:tcW w:w="16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14,455</w:t>
            </w:r>
          </w:p>
        </w:tc>
      </w:tr>
      <w:tr>
        <w:trPr>
          <w:trHeight w:val="240"/>
        </w:trPr>
        <w:tc>
          <w:tcPr>
            <w:tcW w:w="20" w:type="dxa"/>
            <w:vAlign w:val="bottom"/>
          </w:tcPr>
          <w:p>
            <w:pPr>
              <w:spacing w:after="0"/>
              <w:rPr>
                <w:sz w:val="20"/>
                <w:szCs w:val="20"/>
                <w:color w:val="auto"/>
              </w:rPr>
            </w:pPr>
          </w:p>
        </w:tc>
        <w:tc>
          <w:tcPr>
            <w:tcW w:w="7440" w:type="dxa"/>
            <w:vAlign w:val="bottom"/>
          </w:tcPr>
          <w:p>
            <w:pPr>
              <w:ind w:left="100"/>
              <w:spacing w:after="0"/>
              <w:rPr>
                <w:sz w:val="20"/>
                <w:szCs w:val="20"/>
                <w:color w:val="auto"/>
              </w:rPr>
            </w:pPr>
            <w:r>
              <w:rPr>
                <w:rFonts w:ascii="Arial" w:cs="Arial" w:eastAsia="Arial" w:hAnsi="Arial"/>
                <w:sz w:val="16"/>
                <w:szCs w:val="16"/>
                <w:color w:val="auto"/>
              </w:rPr>
              <w:t>Proceeds from long-term debt</w:t>
            </w:r>
          </w:p>
        </w:tc>
        <w:tc>
          <w:tcPr>
            <w:tcW w:w="2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402,913</w:t>
            </w: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441,294</w:t>
            </w:r>
          </w:p>
        </w:tc>
      </w:tr>
      <w:tr>
        <w:trPr>
          <w:trHeight w:val="246"/>
        </w:trPr>
        <w:tc>
          <w:tcPr>
            <w:tcW w:w="20" w:type="dxa"/>
            <w:vAlign w:val="bottom"/>
          </w:tcPr>
          <w:p>
            <w:pPr>
              <w:spacing w:after="0"/>
              <w:rPr>
                <w:sz w:val="21"/>
                <w:szCs w:val="21"/>
                <w:color w:val="auto"/>
              </w:rPr>
            </w:pPr>
          </w:p>
        </w:tc>
        <w:tc>
          <w:tcPr>
            <w:tcW w:w="7440" w:type="dxa"/>
            <w:vAlign w:val="bottom"/>
            <w:shd w:val="clear" w:color="auto" w:fill="CCEEFF"/>
          </w:tcPr>
          <w:p>
            <w:pPr>
              <w:ind w:left="100"/>
              <w:spacing w:after="0"/>
              <w:rPr>
                <w:sz w:val="20"/>
                <w:szCs w:val="20"/>
                <w:color w:val="auto"/>
              </w:rPr>
            </w:pPr>
            <w:r>
              <w:rPr>
                <w:rFonts w:ascii="Arial" w:cs="Arial" w:eastAsia="Arial" w:hAnsi="Arial"/>
                <w:sz w:val="16"/>
                <w:szCs w:val="16"/>
                <w:color w:val="auto"/>
              </w:rPr>
              <w:t>Repayments of long-term debt</w:t>
            </w:r>
          </w:p>
        </w:tc>
        <w:tc>
          <w:tcPr>
            <w:tcW w:w="24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(151,571)</w:t>
            </w:r>
          </w:p>
        </w:tc>
        <w:tc>
          <w:tcPr>
            <w:tcW w:w="16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(293,270)</w:t>
            </w:r>
          </w:p>
        </w:tc>
      </w:tr>
      <w:tr>
        <w:trPr>
          <w:trHeight w:val="240"/>
        </w:trPr>
        <w:tc>
          <w:tcPr>
            <w:tcW w:w="20" w:type="dxa"/>
            <w:vAlign w:val="bottom"/>
          </w:tcPr>
          <w:p>
            <w:pPr>
              <w:spacing w:after="0"/>
              <w:rPr>
                <w:sz w:val="20"/>
                <w:szCs w:val="20"/>
                <w:color w:val="auto"/>
              </w:rPr>
            </w:pPr>
          </w:p>
        </w:tc>
        <w:tc>
          <w:tcPr>
            <w:tcW w:w="7440" w:type="dxa"/>
            <w:vAlign w:val="bottom"/>
          </w:tcPr>
          <w:p>
            <w:pPr>
              <w:ind w:left="100"/>
              <w:spacing w:after="0"/>
              <w:rPr>
                <w:sz w:val="20"/>
                <w:szCs w:val="20"/>
                <w:color w:val="auto"/>
              </w:rPr>
            </w:pPr>
            <w:r>
              <w:rPr>
                <w:rFonts w:ascii="Arial" w:cs="Arial" w:eastAsia="Arial" w:hAnsi="Arial"/>
                <w:sz w:val="16"/>
                <w:szCs w:val="16"/>
                <w:color w:val="auto"/>
              </w:rPr>
              <w:t>Change in cash overdraft position</w:t>
            </w:r>
          </w:p>
        </w:tc>
        <w:tc>
          <w:tcPr>
            <w:tcW w:w="2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(8,661)</w:t>
            </w: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(1,932)</w:t>
            </w:r>
          </w:p>
        </w:tc>
      </w:tr>
      <w:tr>
        <w:trPr>
          <w:trHeight w:val="246"/>
        </w:trPr>
        <w:tc>
          <w:tcPr>
            <w:tcW w:w="20" w:type="dxa"/>
            <w:vAlign w:val="bottom"/>
          </w:tcPr>
          <w:p>
            <w:pPr>
              <w:spacing w:after="0"/>
              <w:rPr>
                <w:sz w:val="21"/>
                <w:szCs w:val="21"/>
                <w:color w:val="auto"/>
              </w:rPr>
            </w:pPr>
          </w:p>
        </w:tc>
        <w:tc>
          <w:tcPr>
            <w:tcW w:w="7440" w:type="dxa"/>
            <w:vAlign w:val="bottom"/>
            <w:shd w:val="clear" w:color="auto" w:fill="CCEEFF"/>
          </w:tcPr>
          <w:p>
            <w:pPr>
              <w:ind w:left="100"/>
              <w:spacing w:after="0"/>
              <w:rPr>
                <w:sz w:val="20"/>
                <w:szCs w:val="20"/>
                <w:color w:val="auto"/>
              </w:rPr>
            </w:pPr>
            <w:r>
              <w:rPr>
                <w:rFonts w:ascii="Arial" w:cs="Arial" w:eastAsia="Arial" w:hAnsi="Arial"/>
                <w:sz w:val="16"/>
                <w:szCs w:val="16"/>
                <w:color w:val="auto"/>
              </w:rPr>
              <w:t>Proceeds from issuing common stock</w:t>
            </w:r>
          </w:p>
        </w:tc>
        <w:tc>
          <w:tcPr>
            <w:tcW w:w="24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1,101</w:t>
            </w:r>
          </w:p>
        </w:tc>
        <w:tc>
          <w:tcPr>
            <w:tcW w:w="16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1,084</w:t>
            </w:r>
          </w:p>
        </w:tc>
      </w:tr>
      <w:tr>
        <w:trPr>
          <w:trHeight w:val="240"/>
        </w:trPr>
        <w:tc>
          <w:tcPr>
            <w:tcW w:w="20" w:type="dxa"/>
            <w:vAlign w:val="bottom"/>
          </w:tcPr>
          <w:p>
            <w:pPr>
              <w:spacing w:after="0"/>
              <w:rPr>
                <w:sz w:val="20"/>
                <w:szCs w:val="20"/>
                <w:color w:val="auto"/>
              </w:rPr>
            </w:pPr>
          </w:p>
        </w:tc>
        <w:tc>
          <w:tcPr>
            <w:tcW w:w="7440" w:type="dxa"/>
            <w:vAlign w:val="bottom"/>
          </w:tcPr>
          <w:p>
            <w:pPr>
              <w:ind w:left="100"/>
              <w:spacing w:after="0"/>
              <w:rPr>
                <w:sz w:val="20"/>
                <w:szCs w:val="20"/>
                <w:color w:val="auto"/>
              </w:rPr>
            </w:pPr>
            <w:r>
              <w:rPr>
                <w:rFonts w:ascii="Arial" w:cs="Arial" w:eastAsia="Arial" w:hAnsi="Arial"/>
                <w:sz w:val="16"/>
                <w:szCs w:val="16"/>
                <w:color w:val="auto"/>
              </w:rPr>
              <w:t>Proceeds from exercised stock options</w:t>
            </w:r>
          </w:p>
        </w:tc>
        <w:tc>
          <w:tcPr>
            <w:tcW w:w="2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1,202</w:t>
            </w: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2,603</w:t>
            </w:r>
          </w:p>
        </w:tc>
      </w:tr>
      <w:tr>
        <w:trPr>
          <w:trHeight w:val="246"/>
        </w:trPr>
        <w:tc>
          <w:tcPr>
            <w:tcW w:w="20" w:type="dxa"/>
            <w:vAlign w:val="bottom"/>
          </w:tcPr>
          <w:p>
            <w:pPr>
              <w:spacing w:after="0"/>
              <w:rPr>
                <w:sz w:val="21"/>
                <w:szCs w:val="21"/>
                <w:color w:val="auto"/>
              </w:rPr>
            </w:pPr>
          </w:p>
        </w:tc>
        <w:tc>
          <w:tcPr>
            <w:tcW w:w="7440" w:type="dxa"/>
            <w:vAlign w:val="bottom"/>
            <w:shd w:val="clear" w:color="auto" w:fill="CCEEFF"/>
          </w:tcPr>
          <w:p>
            <w:pPr>
              <w:ind w:left="100"/>
              <w:spacing w:after="0"/>
              <w:rPr>
                <w:sz w:val="20"/>
                <w:szCs w:val="20"/>
                <w:color w:val="auto"/>
              </w:rPr>
            </w:pPr>
            <w:r>
              <w:rPr>
                <w:rFonts w:ascii="Arial" w:cs="Arial" w:eastAsia="Arial" w:hAnsi="Arial"/>
                <w:sz w:val="16"/>
                <w:szCs w:val="16"/>
                <w:color w:val="auto"/>
              </w:rPr>
              <w:t>Repurchase of common stock</w:t>
            </w:r>
          </w:p>
        </w:tc>
        <w:tc>
          <w:tcPr>
            <w:tcW w:w="24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(2,492)</w:t>
            </w:r>
          </w:p>
        </w:tc>
        <w:tc>
          <w:tcPr>
            <w:tcW w:w="16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(2,116)</w:t>
            </w:r>
          </w:p>
        </w:tc>
      </w:tr>
      <w:tr>
        <w:trPr>
          <w:trHeight w:val="240"/>
        </w:trPr>
        <w:tc>
          <w:tcPr>
            <w:tcW w:w="20" w:type="dxa"/>
            <w:vAlign w:val="bottom"/>
          </w:tcPr>
          <w:p>
            <w:pPr>
              <w:spacing w:after="0"/>
              <w:rPr>
                <w:sz w:val="20"/>
                <w:szCs w:val="20"/>
                <w:color w:val="auto"/>
              </w:rPr>
            </w:pPr>
          </w:p>
        </w:tc>
        <w:tc>
          <w:tcPr>
            <w:tcW w:w="7440" w:type="dxa"/>
            <w:vAlign w:val="bottom"/>
          </w:tcPr>
          <w:p>
            <w:pPr>
              <w:ind w:left="100"/>
              <w:spacing w:after="0"/>
              <w:rPr>
                <w:sz w:val="20"/>
                <w:szCs w:val="20"/>
                <w:color w:val="auto"/>
              </w:rPr>
            </w:pPr>
            <w:r>
              <w:rPr>
                <w:rFonts w:ascii="Arial" w:cs="Arial" w:eastAsia="Arial" w:hAnsi="Arial"/>
                <w:sz w:val="16"/>
                <w:szCs w:val="16"/>
                <w:color w:val="auto"/>
              </w:rPr>
              <w:t>Dividends paid on common stock</w:t>
            </w:r>
          </w:p>
        </w:tc>
        <w:tc>
          <w:tcPr>
            <w:tcW w:w="2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(111,766)</w:t>
            </w: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(104,286)</w:t>
            </w:r>
          </w:p>
        </w:tc>
      </w:tr>
      <w:tr>
        <w:trPr>
          <w:trHeight w:val="243"/>
        </w:trPr>
        <w:tc>
          <w:tcPr>
            <w:tcW w:w="20" w:type="dxa"/>
            <w:vAlign w:val="bottom"/>
          </w:tcPr>
          <w:p>
            <w:pPr>
              <w:spacing w:after="0"/>
              <w:rPr>
                <w:sz w:val="21"/>
                <w:szCs w:val="21"/>
                <w:color w:val="auto"/>
              </w:rPr>
            </w:pPr>
          </w:p>
        </w:tc>
        <w:tc>
          <w:tcPr>
            <w:tcW w:w="7440" w:type="dxa"/>
            <w:vAlign w:val="bottom"/>
            <w:shd w:val="clear" w:color="auto" w:fill="CCEEFF"/>
          </w:tcPr>
          <w:p>
            <w:pPr>
              <w:ind w:left="100"/>
              <w:spacing w:after="0"/>
              <w:rPr>
                <w:sz w:val="20"/>
                <w:szCs w:val="20"/>
                <w:color w:val="auto"/>
              </w:rPr>
            </w:pPr>
            <w:r>
              <w:rPr>
                <w:rFonts w:ascii="Arial" w:cs="Arial" w:eastAsia="Arial" w:hAnsi="Arial"/>
                <w:sz w:val="16"/>
                <w:szCs w:val="16"/>
                <w:color w:val="auto"/>
              </w:rPr>
              <w:t>Other</w:t>
            </w:r>
          </w:p>
        </w:tc>
        <w:tc>
          <w:tcPr>
            <w:tcW w:w="240" w:type="dxa"/>
            <w:vAlign w:val="bottom"/>
            <w:tcBorders>
              <w:bottom w:val="single" w:sz="8" w:color="auto"/>
            </w:tcBorders>
            <w:shd w:val="clear" w:color="auto" w:fill="CCEEFF"/>
          </w:tcPr>
          <w:p>
            <w:pPr>
              <w:spacing w:after="0"/>
              <w:rPr>
                <w:sz w:val="21"/>
                <w:szCs w:val="21"/>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(612)</w:t>
            </w:r>
          </w:p>
        </w:tc>
        <w:tc>
          <w:tcPr>
            <w:tcW w:w="16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(647)</w:t>
            </w:r>
          </w:p>
        </w:tc>
      </w:tr>
      <w:tr>
        <w:trPr>
          <w:trHeight w:val="237"/>
        </w:trPr>
        <w:tc>
          <w:tcPr>
            <w:tcW w:w="7460" w:type="dxa"/>
            <w:vAlign w:val="bottom"/>
            <w:gridSpan w:val="2"/>
          </w:tcPr>
          <w:p>
            <w:pPr>
              <w:spacing w:after="0"/>
              <w:rPr>
                <w:sz w:val="20"/>
                <w:szCs w:val="20"/>
                <w:color w:val="auto"/>
              </w:rPr>
            </w:pPr>
            <w:r>
              <w:rPr>
                <w:rFonts w:ascii="Arial" w:cs="Arial" w:eastAsia="Arial" w:hAnsi="Arial"/>
                <w:sz w:val="16"/>
                <w:szCs w:val="16"/>
                <w:color w:val="auto"/>
              </w:rPr>
              <w:t>Net cash flows from financing activities</w:t>
            </w:r>
          </w:p>
        </w:tc>
        <w:tc>
          <w:tcPr>
            <w:tcW w:w="2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151,421</w:t>
            </w: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59,314</w:t>
            </w:r>
          </w:p>
        </w:tc>
      </w:tr>
      <w:tr>
        <w:trPr>
          <w:trHeight w:val="240"/>
        </w:trPr>
        <w:tc>
          <w:tcPr>
            <w:tcW w:w="20" w:type="dxa"/>
            <w:vAlign w:val="bottom"/>
          </w:tcPr>
          <w:p>
            <w:pPr>
              <w:spacing w:after="0"/>
              <w:rPr>
                <w:sz w:val="20"/>
                <w:szCs w:val="20"/>
                <w:color w:val="auto"/>
              </w:rPr>
            </w:pPr>
          </w:p>
        </w:tc>
        <w:tc>
          <w:tcPr>
            <w:tcW w:w="74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color w:val="auto"/>
              </w:rPr>
              <w:t>Net change in cash and cash equivalents</w:t>
            </w:r>
          </w:p>
        </w:tc>
        <w:tc>
          <w:tcPr>
            <w:tcW w:w="240" w:type="dxa"/>
            <w:vAlign w:val="bottom"/>
            <w:tcBorders>
              <w:top w:val="single" w:sz="8" w:color="auto"/>
            </w:tcBorders>
            <w:shd w:val="clear" w:color="auto" w:fill="CCEEFF"/>
          </w:tcPr>
          <w:p>
            <w:pPr>
              <w:spacing w:after="0"/>
              <w:rPr>
                <w:sz w:val="20"/>
                <w:szCs w:val="20"/>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60</w:t>
            </w:r>
          </w:p>
        </w:tc>
        <w:tc>
          <w:tcPr>
            <w:tcW w:w="160" w:type="dxa"/>
            <w:vAlign w:val="bottom"/>
            <w:tcBorders>
              <w:top w:val="single" w:sz="8" w:color="CCEEFF"/>
            </w:tcBorders>
            <w:shd w:val="clear" w:color="auto" w:fill="CCEEFF"/>
          </w:tcPr>
          <w:p>
            <w:pPr>
              <w:spacing w:after="0"/>
              <w:rPr>
                <w:sz w:val="20"/>
                <w:szCs w:val="20"/>
                <w:color w:val="auto"/>
              </w:rPr>
            </w:pPr>
          </w:p>
        </w:tc>
        <w:tc>
          <w:tcPr>
            <w:tcW w:w="260" w:type="dxa"/>
            <w:vAlign w:val="bottom"/>
            <w:tcBorders>
              <w:top w:val="single" w:sz="8" w:color="auto"/>
            </w:tcBorders>
            <w:shd w:val="clear" w:color="auto" w:fill="CCEEFF"/>
          </w:tcPr>
          <w:p>
            <w:pPr>
              <w:spacing w:after="0"/>
              <w:rPr>
                <w:sz w:val="20"/>
                <w:szCs w:val="20"/>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376</w:t>
            </w:r>
          </w:p>
        </w:tc>
      </w:tr>
      <w:tr>
        <w:trPr>
          <w:trHeight w:val="240"/>
        </w:trPr>
        <w:tc>
          <w:tcPr>
            <w:tcW w:w="7460" w:type="dxa"/>
            <w:vAlign w:val="bottom"/>
            <w:gridSpan w:val="2"/>
          </w:tcPr>
          <w:p>
            <w:pPr>
              <w:spacing w:after="0"/>
              <w:rPr>
                <w:sz w:val="20"/>
                <w:szCs w:val="20"/>
                <w:color w:val="auto"/>
              </w:rPr>
            </w:pPr>
            <w:r>
              <w:rPr>
                <w:rFonts w:ascii="Arial" w:cs="Arial" w:eastAsia="Arial" w:hAnsi="Arial"/>
                <w:sz w:val="16"/>
                <w:szCs w:val="16"/>
                <w:color w:val="auto"/>
              </w:rPr>
              <w:t>Cash and cash equivalents at beginning of period</w:t>
            </w:r>
          </w:p>
        </w:tc>
        <w:tc>
          <w:tcPr>
            <w:tcW w:w="2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4,204</w:t>
            </w: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3,763</w:t>
            </w:r>
          </w:p>
        </w:tc>
      </w:tr>
      <w:tr>
        <w:trPr>
          <w:trHeight w:val="233"/>
        </w:trPr>
        <w:tc>
          <w:tcPr>
            <w:tcW w:w="20" w:type="dxa"/>
            <w:vAlign w:val="bottom"/>
          </w:tcPr>
          <w:p>
            <w:pPr>
              <w:spacing w:after="0"/>
              <w:rPr>
                <w:sz w:val="20"/>
                <w:szCs w:val="20"/>
                <w:color w:val="auto"/>
              </w:rPr>
            </w:pPr>
          </w:p>
        </w:tc>
        <w:tc>
          <w:tcPr>
            <w:tcW w:w="74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Cash and cash equivalents at end of period</w:t>
            </w:r>
          </w:p>
        </w:tc>
        <w:tc>
          <w:tcPr>
            <w:tcW w:w="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4,264</w:t>
            </w:r>
          </w:p>
        </w:tc>
        <w:tc>
          <w:tcPr>
            <w:tcW w:w="16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4,139</w:t>
            </w:r>
          </w:p>
        </w:tc>
      </w:tr>
      <w:tr>
        <w:trPr>
          <w:trHeight w:val="376"/>
        </w:trPr>
        <w:tc>
          <w:tcPr>
            <w:tcW w:w="7460" w:type="dxa"/>
            <w:vAlign w:val="bottom"/>
            <w:gridSpan w:val="2"/>
          </w:tcPr>
          <w:p>
            <w:pPr>
              <w:spacing w:after="0"/>
              <w:rPr>
                <w:sz w:val="20"/>
                <w:szCs w:val="20"/>
                <w:color w:val="auto"/>
              </w:rPr>
            </w:pPr>
            <w:r>
              <w:rPr>
                <w:rFonts w:ascii="Arial" w:cs="Arial" w:eastAsia="Arial" w:hAnsi="Arial"/>
                <w:sz w:val="16"/>
                <w:szCs w:val="16"/>
                <w:color w:val="auto"/>
              </w:rPr>
              <w:t>Non-cash investing activities:</w:t>
            </w: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246"/>
        </w:trPr>
        <w:tc>
          <w:tcPr>
            <w:tcW w:w="20" w:type="dxa"/>
            <w:vAlign w:val="bottom"/>
          </w:tcPr>
          <w:p>
            <w:pPr>
              <w:spacing w:after="0"/>
              <w:rPr>
                <w:sz w:val="21"/>
                <w:szCs w:val="21"/>
                <w:color w:val="auto"/>
              </w:rPr>
            </w:pPr>
          </w:p>
        </w:tc>
        <w:tc>
          <w:tcPr>
            <w:tcW w:w="7440" w:type="dxa"/>
            <w:vAlign w:val="bottom"/>
            <w:shd w:val="clear" w:color="auto" w:fill="CCEEFF"/>
          </w:tcPr>
          <w:p>
            <w:pPr>
              <w:ind w:left="100"/>
              <w:spacing w:after="0"/>
              <w:rPr>
                <w:sz w:val="20"/>
                <w:szCs w:val="20"/>
                <w:color w:val="auto"/>
              </w:rPr>
            </w:pPr>
            <w:r>
              <w:rPr>
                <w:rFonts w:ascii="Arial" w:cs="Arial" w:eastAsia="Arial" w:hAnsi="Arial"/>
                <w:sz w:val="16"/>
                <w:szCs w:val="16"/>
                <w:color w:val="auto"/>
              </w:rPr>
              <w:t>Property, plant and equipment additions purchased at the period end, but not yet paid for</w:t>
            </w:r>
          </w:p>
        </w:tc>
        <w:tc>
          <w:tcPr>
            <w:tcW w:w="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42,245</w:t>
            </w:r>
          </w:p>
        </w:tc>
        <w:tc>
          <w:tcPr>
            <w:tcW w:w="16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35,145</w:t>
            </w:r>
          </w:p>
        </w:tc>
      </w:tr>
      <w:tr>
        <w:trPr>
          <w:trHeight w:val="237"/>
        </w:trPr>
        <w:tc>
          <w:tcPr>
            <w:tcW w:w="20" w:type="dxa"/>
            <w:vAlign w:val="bottom"/>
          </w:tcPr>
          <w:p>
            <w:pPr>
              <w:spacing w:after="0"/>
              <w:rPr>
                <w:sz w:val="20"/>
                <w:szCs w:val="20"/>
                <w:color w:val="auto"/>
              </w:rPr>
            </w:pPr>
          </w:p>
        </w:tc>
        <w:tc>
          <w:tcPr>
            <w:tcW w:w="7440" w:type="dxa"/>
            <w:vAlign w:val="bottom"/>
          </w:tcPr>
          <w:p>
            <w:pPr>
              <w:ind w:left="100"/>
              <w:spacing w:after="0"/>
              <w:rPr>
                <w:sz w:val="20"/>
                <w:szCs w:val="20"/>
                <w:color w:val="auto"/>
              </w:rPr>
            </w:pPr>
            <w:r>
              <w:rPr>
                <w:rFonts w:ascii="Arial" w:cs="Arial" w:eastAsia="Arial" w:hAnsi="Arial"/>
                <w:sz w:val="16"/>
                <w:szCs w:val="16"/>
                <w:color w:val="auto"/>
              </w:rPr>
              <w:t>Non-cash customer advances and contributions in aid of construction</w:t>
            </w:r>
          </w:p>
        </w:tc>
        <w:tc>
          <w:tcPr>
            <w:tcW w:w="2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14,916</w:t>
            </w: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31,615</w:t>
            </w:r>
          </w:p>
        </w:tc>
      </w:tr>
    </w:tbl>
    <w:p>
      <w:pPr>
        <w:spacing w:after="0" w:line="239" w:lineRule="exact"/>
        <w:rPr>
          <w:sz w:val="20"/>
          <w:szCs w:val="20"/>
          <w:color w:val="auto"/>
        </w:rPr>
      </w:pPr>
    </w:p>
    <w:p>
      <w:pPr>
        <w:spacing w:after="0"/>
        <w:rPr>
          <w:sz w:val="20"/>
          <w:szCs w:val="20"/>
          <w:color w:val="auto"/>
        </w:rPr>
      </w:pPr>
      <w:r>
        <w:rPr>
          <w:rFonts w:ascii="Arial" w:cs="Arial" w:eastAsia="Arial" w:hAnsi="Arial"/>
          <w:sz w:val="16"/>
          <w:szCs w:val="16"/>
          <w:color w:val="auto"/>
        </w:rPr>
        <w:t>See notes to consolidated financial statements beginning on page 9 of this report.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38100</wp:posOffset>
            </wp:positionH>
            <wp:positionV relativeFrom="paragraph">
              <wp:posOffset>63500</wp:posOffset>
            </wp:positionV>
            <wp:extent cx="6114415" cy="514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114415" cy="51435"/>
                    </a:xfrm>
                    <a:prstGeom prst="rect">
                      <a:avLst/>
                    </a:prstGeom>
                    <a:noFill/>
                  </pic:spPr>
                </pic:pic>
              </a:graphicData>
            </a:graphic>
          </wp:anchor>
        </w:drawing>
      </w:r>
    </w:p>
    <w:p>
      <w:pPr>
        <w:sectPr>
          <w:pgSz w:w="11900" w:h="16838" w:orient="portrait"/>
          <w:cols w:equalWidth="0" w:num="1">
            <w:col w:w="9640"/>
          </w:cols>
          <w:pgMar w:left="1140" w:top="118" w:right="1119" w:bottom="1440" w:gutter="0" w:footer="0" w:header="0"/>
        </w:sectPr>
      </w:pPr>
    </w:p>
    <w:bookmarkStart w:id="10" w:name="page11"/>
    <w:bookmarkEnd w:id="10"/>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jc w:val="center"/>
        <w:spacing w:after="0" w:line="238" w:lineRule="auto"/>
        <w:rPr>
          <w:sz w:val="20"/>
          <w:szCs w:val="20"/>
          <w:color w:val="auto"/>
        </w:rPr>
      </w:pPr>
      <w:r>
        <w:rPr>
          <w:rFonts w:ascii="Arial" w:cs="Arial" w:eastAsia="Arial" w:hAnsi="Arial"/>
          <w:sz w:val="22"/>
          <w:szCs w:val="22"/>
          <w:color w:val="auto"/>
        </w:rPr>
        <w:t>AQUA AMERICA, INC. AND SUBSIDIARIES</w:t>
      </w:r>
    </w:p>
    <w:p>
      <w:pPr>
        <w:jc w:val="center"/>
        <w:ind w:right="-39"/>
        <w:spacing w:after="0" w:line="231" w:lineRule="auto"/>
        <w:rPr>
          <w:sz w:val="20"/>
          <w:szCs w:val="20"/>
          <w:color w:val="auto"/>
        </w:rPr>
      </w:pPr>
      <w:r>
        <w:rPr>
          <w:rFonts w:ascii="Arial" w:cs="Arial" w:eastAsia="Arial" w:hAnsi="Arial"/>
          <w:sz w:val="22"/>
          <w:szCs w:val="22"/>
          <w:color w:val="auto"/>
        </w:rPr>
        <w:t>NOTES TO CONSOLIDATED FINANCIAL STATEMENTS</w:t>
      </w:r>
    </w:p>
    <w:p>
      <w:pPr>
        <w:jc w:val="center"/>
        <w:ind w:right="-59"/>
        <w:spacing w:after="0" w:line="231" w:lineRule="auto"/>
        <w:rPr>
          <w:sz w:val="20"/>
          <w:szCs w:val="20"/>
          <w:color w:val="auto"/>
        </w:rPr>
      </w:pPr>
      <w:r>
        <w:rPr>
          <w:rFonts w:ascii="Arial" w:cs="Arial" w:eastAsia="Arial" w:hAnsi="Arial"/>
          <w:sz w:val="22"/>
          <w:szCs w:val="22"/>
          <w:color w:val="auto"/>
        </w:rPr>
        <w:t>(In thousands of dollars, except per share amounts)</w:t>
      </w:r>
    </w:p>
    <w:p>
      <w:pPr>
        <w:jc w:val="center"/>
        <w:ind w:right="-39"/>
        <w:spacing w:after="0"/>
        <w:rPr>
          <w:sz w:val="20"/>
          <w:szCs w:val="20"/>
          <w:color w:val="auto"/>
        </w:rPr>
      </w:pPr>
      <w:r>
        <w:rPr>
          <w:rFonts w:ascii="Arial" w:cs="Arial" w:eastAsia="Arial" w:hAnsi="Arial"/>
          <w:sz w:val="22"/>
          <w:szCs w:val="22"/>
          <w:color w:val="auto"/>
        </w:rPr>
        <w:t>(UNAUDITED)</w:t>
      </w:r>
    </w:p>
    <w:p>
      <w:pPr>
        <w:spacing w:after="0" w:line="16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Note 1 – </w:t>
      </w:r>
      <w:r>
        <w:rPr>
          <w:rFonts w:ascii="Arial" w:cs="Arial" w:eastAsia="Arial" w:hAnsi="Arial"/>
          <w:sz w:val="22"/>
          <w:szCs w:val="22"/>
          <w:b w:val="1"/>
          <w:bCs w:val="1"/>
          <w:i w:val="1"/>
          <w:iCs w:val="1"/>
          <w:color w:val="auto"/>
        </w:rPr>
        <w:t>Basis of Presentation</w:t>
      </w:r>
    </w:p>
    <w:p>
      <w:pPr>
        <w:spacing w:after="0" w:line="118" w:lineRule="exact"/>
        <w:rPr>
          <w:sz w:val="20"/>
          <w:szCs w:val="20"/>
          <w:color w:val="auto"/>
        </w:rPr>
      </w:pPr>
    </w:p>
    <w:p>
      <w:pPr>
        <w:spacing w:after="0" w:line="270" w:lineRule="auto"/>
        <w:rPr>
          <w:sz w:val="20"/>
          <w:szCs w:val="20"/>
          <w:color w:val="auto"/>
        </w:rPr>
      </w:pPr>
      <w:r>
        <w:rPr>
          <w:rFonts w:ascii="Arial" w:cs="Arial" w:eastAsia="Arial" w:hAnsi="Arial"/>
          <w:sz w:val="19"/>
          <w:szCs w:val="19"/>
          <w:color w:val="auto"/>
        </w:rPr>
        <w:t xml:space="preserve">The accompanying consolidated balance sheets and statements of capitalization of Aqua America, Inc. and subsidiaries (the “Company”) at September 30, 2018, the consolidated statements of net income and comprehensive income for the three and nine months ended September 30, 2018 and 2017 the consolidated statements of cash flow for the nine months ended September 30, 2018 and 2017, and the consolidated statement of equity for the nine months ended September 30, 2018 are unaudited, but reflect all adjustments, consisting of only normal recurring accruals, which are, in the opinion of management, necessary to present a fair statement of its consolidated financial position, consolidated changes in equity, consolidated results of operations, and consolidated cash flow for the periods presented. Because they cover interim periods, the statements and related notes to the financial statements do not include all disclosures and notes normally provided in annual financial statements and, therefore, should be read in conjunction with the Company’s Annual Report on Form 10-K for the year ended December 31, 2017. The results of operations for interim periods may not be indicative of the results that may be expected for the entire year. The December 31, 2017 consolidated balance sheet data presented herein was derived from the Company’s December 31, 2017 audited consolidated financial statements, but does not include all disclosures and notes normally provided in annual financial statements. Certain prior period amounts have been reclassified to conform to the current period presentation in the consolidated statements of net income as a result of the adoption, in the first quarter of 2018, of the Financial Accounting Standards Board’s (“FASB”) accounting guidance on the presentation of net periodic pension and postretirement benefit cost (refer to Note 16 – </w:t>
      </w:r>
      <w:r>
        <w:rPr>
          <w:rFonts w:ascii="Arial" w:cs="Arial" w:eastAsia="Arial" w:hAnsi="Arial"/>
          <w:sz w:val="19"/>
          <w:szCs w:val="19"/>
          <w:i w:val="1"/>
          <w:iCs w:val="1"/>
          <w:color w:val="auto"/>
        </w:rPr>
        <w:t>Recent Accounting Pronouncements</w:t>
      </w:r>
      <w:r>
        <w:rPr>
          <w:rFonts w:ascii="Arial" w:cs="Arial" w:eastAsia="Arial" w:hAnsi="Arial"/>
          <w:sz w:val="19"/>
          <w:szCs w:val="19"/>
          <w:color w:val="auto"/>
        </w:rPr>
        <w:t>).</w:t>
      </w:r>
    </w:p>
    <w:p>
      <w:pPr>
        <w:spacing w:after="0" w:line="194" w:lineRule="exact"/>
        <w:rPr>
          <w:sz w:val="20"/>
          <w:szCs w:val="20"/>
          <w:color w:val="auto"/>
        </w:rPr>
      </w:pPr>
    </w:p>
    <w:p>
      <w:pPr>
        <w:ind w:right="80"/>
        <w:spacing w:after="0" w:line="274" w:lineRule="auto"/>
        <w:rPr>
          <w:sz w:val="20"/>
          <w:szCs w:val="20"/>
          <w:color w:val="auto"/>
        </w:rPr>
      </w:pPr>
      <w:r>
        <w:rPr>
          <w:rFonts w:ascii="Arial" w:cs="Arial" w:eastAsia="Arial" w:hAnsi="Arial"/>
          <w:sz w:val="19"/>
          <w:szCs w:val="19"/>
          <w:color w:val="auto"/>
        </w:rPr>
        <w:t>The preparation of financial statements often requires the selection of specific accounting methods and policies. Further, significant estimates and judgments may be required in selecting and applying those methods and policies in the recognition of the assets and liabilities in its consolidated balance sheets, the revenues and expenses in its consolidated statements of net income, and the information that is contained in its summary of significant accounting policies and notes to consolidated financial statements. Making these estimates and judgments requires the analysis of information concerning events that may not yet be complete and of facts and circumstances that may change over time. Accordingly, actual amounts or future results can differ materially from those estimates that the Company includes currently in its consolidated financial statements, summary of significant accounting policies, and notes.</w:t>
      </w:r>
    </w:p>
    <w:p>
      <w:pPr>
        <w:spacing w:after="0" w:line="186" w:lineRule="exact"/>
        <w:rPr>
          <w:sz w:val="20"/>
          <w:szCs w:val="20"/>
          <w:color w:val="auto"/>
        </w:rPr>
      </w:pPr>
    </w:p>
    <w:p>
      <w:pPr>
        <w:jc w:val="both"/>
        <w:ind w:right="380"/>
        <w:spacing w:after="0" w:line="238" w:lineRule="auto"/>
        <w:rPr>
          <w:sz w:val="20"/>
          <w:szCs w:val="20"/>
          <w:color w:val="auto"/>
        </w:rPr>
      </w:pPr>
      <w:r>
        <w:rPr>
          <w:rFonts w:ascii="Arial" w:cs="Arial" w:eastAsia="Arial" w:hAnsi="Arial"/>
          <w:sz w:val="22"/>
          <w:szCs w:val="22"/>
          <w:color w:val="auto"/>
        </w:rPr>
        <w:t xml:space="preserve">There have been no changes to the summary of significant accounting policies, other than as described in Note 2 – </w:t>
      </w:r>
      <w:r>
        <w:rPr>
          <w:rFonts w:ascii="Arial" w:cs="Arial" w:eastAsia="Arial" w:hAnsi="Arial"/>
          <w:sz w:val="22"/>
          <w:szCs w:val="22"/>
          <w:i w:val="1"/>
          <w:iCs w:val="1"/>
          <w:color w:val="auto"/>
        </w:rPr>
        <w:t>Revenue Recognition</w:t>
      </w:r>
      <w:r>
        <w:rPr>
          <w:rFonts w:ascii="Arial" w:cs="Arial" w:eastAsia="Arial" w:hAnsi="Arial"/>
          <w:sz w:val="22"/>
          <w:szCs w:val="22"/>
          <w:color w:val="auto"/>
        </w:rPr>
        <w:t xml:space="preserve"> as a result of the adoption of a new accounting pronouncement adopted on January 1, 2018, previously identified in the Company’s Annual Report on Form 10-K for the year ended December 31, 2017.</w:t>
      </w:r>
    </w:p>
    <w:p>
      <w:pPr>
        <w:spacing w:after="0" w:line="200" w:lineRule="exact"/>
        <w:rPr>
          <w:sz w:val="20"/>
          <w:szCs w:val="20"/>
          <w:color w:val="auto"/>
        </w:rPr>
      </w:pPr>
    </w:p>
    <w:p>
      <w:pPr>
        <w:spacing w:after="0" w:line="228"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63500</wp:posOffset>
            </wp:positionV>
            <wp:extent cx="6114415" cy="514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114415" cy="51435"/>
                    </a:xfrm>
                    <a:prstGeom prst="rect">
                      <a:avLst/>
                    </a:prstGeom>
                    <a:noFill/>
                  </pic:spPr>
                </pic:pic>
              </a:graphicData>
            </a:graphic>
          </wp:anchor>
        </w:drawing>
      </w:r>
    </w:p>
    <w:p>
      <w:pPr>
        <w:sectPr>
          <w:pgSz w:w="11900" w:h="16838" w:orient="portrait"/>
          <w:cols w:equalWidth="0" w:num="1">
            <w:col w:w="9500"/>
          </w:cols>
          <w:pgMar w:left="1220" w:top="118" w:right="1179" w:bottom="1440" w:gutter="0" w:footer="0" w:header="0"/>
        </w:sectPr>
      </w:pPr>
    </w:p>
    <w:bookmarkStart w:id="11" w:name="page12"/>
    <w:bookmarkEnd w:id="11"/>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AQUA AMERICA, INC. AND SUBSIDIARIES NOTES TO CONSOLIDATED FINANCIAL STATEMENTS (continued) (In thousands of dollars, except per share amounts) (UNAUDITED)</w:t>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Note 2 – </w:t>
      </w:r>
      <w:r>
        <w:rPr>
          <w:rFonts w:ascii="Arial" w:cs="Arial" w:eastAsia="Arial" w:hAnsi="Arial"/>
          <w:sz w:val="22"/>
          <w:szCs w:val="22"/>
          <w:b w:val="1"/>
          <w:bCs w:val="1"/>
          <w:i w:val="1"/>
          <w:iCs w:val="1"/>
          <w:color w:val="auto"/>
        </w:rPr>
        <w:t>Revenue Recognition</w:t>
      </w:r>
    </w:p>
    <w:p>
      <w:pPr>
        <w:spacing w:after="0" w:line="239" w:lineRule="exact"/>
        <w:rPr>
          <w:sz w:val="20"/>
          <w:szCs w:val="20"/>
          <w:color w:val="auto"/>
        </w:rPr>
      </w:pPr>
    </w:p>
    <w:p>
      <w:pPr>
        <w:spacing w:after="0" w:line="275" w:lineRule="auto"/>
        <w:rPr>
          <w:sz w:val="20"/>
          <w:szCs w:val="20"/>
          <w:color w:val="auto"/>
        </w:rPr>
      </w:pPr>
      <w:r>
        <w:rPr>
          <w:rFonts w:ascii="Arial" w:cs="Arial" w:eastAsia="Arial" w:hAnsi="Arial"/>
          <w:sz w:val="19"/>
          <w:szCs w:val="19"/>
          <w:color w:val="auto"/>
        </w:rPr>
        <w:t>The Company recognizes revenue as water and wastewater services are provided to our customers, which happens over time as the service is delivered and the performance obligation is satisfied. The Company’s utility revenues recognized in an accounting period include amounts billed to customers on a cycle basis and unbilled amounts based on estimated usage from the last billing to the end of the accounting period. Unbilled amounts are calculated by deriving estimates based on average usage of the prior month. The Company’s actual results could differ from these estimates, which would result in operating revenues being adjusted in the period that the revision to our estimates is determined. Unbilled amounts are included in accounts receivable and unbilled revenues, net on the consolidated balance sheet.</w:t>
      </w:r>
    </w:p>
    <w:p>
      <w:pPr>
        <w:spacing w:after="0" w:line="185" w:lineRule="exact"/>
        <w:rPr>
          <w:sz w:val="20"/>
          <w:szCs w:val="20"/>
          <w:color w:val="auto"/>
        </w:rPr>
      </w:pPr>
    </w:p>
    <w:p>
      <w:pPr>
        <w:ind w:right="20"/>
        <w:spacing w:after="0" w:line="277" w:lineRule="auto"/>
        <w:rPr>
          <w:sz w:val="20"/>
          <w:szCs w:val="20"/>
          <w:color w:val="auto"/>
        </w:rPr>
      </w:pPr>
      <w:r>
        <w:rPr>
          <w:rFonts w:ascii="Arial" w:cs="Arial" w:eastAsia="Arial" w:hAnsi="Arial"/>
          <w:sz w:val="19"/>
          <w:szCs w:val="19"/>
          <w:color w:val="auto"/>
        </w:rPr>
        <w:t>Generally, payment is due within 30 days once a bill is issued to a customer. Sales tax and other taxes we collect on behalf of government authorities, concurrent with our revenue-producing activities, are primarily excluded from revenue. The Company has determined that its revenue recognition is not materially different under the FASB’s new accounting standard for revenue from contracts with customer, and has not made any changes to our accounting policy. The Company’s revenues are being reported identical in the consolidated statements of net income to how they were reported under the FASB’s former accounting standard for revenue recognition. The following table presents our revenues disaggregated by major source and customer class:</w:t>
      </w:r>
    </w:p>
    <w:p>
      <w:pPr>
        <w:spacing w:after="0" w:line="200" w:lineRule="exact"/>
        <w:rPr>
          <w:sz w:val="20"/>
          <w:szCs w:val="20"/>
          <w:color w:val="auto"/>
        </w:rPr>
      </w:pP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3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500" w:type="dxa"/>
            <w:vAlign w:val="bottom"/>
            <w:gridSpan w:val="4"/>
          </w:tcPr>
          <w:p>
            <w:pPr>
              <w:jc w:val="right"/>
              <w:ind w:right="230"/>
              <w:spacing w:after="0"/>
              <w:rPr>
                <w:sz w:val="20"/>
                <w:szCs w:val="20"/>
                <w:color w:val="auto"/>
              </w:rPr>
            </w:pPr>
            <w:r>
              <w:rPr>
                <w:rFonts w:ascii="Arial" w:cs="Arial" w:eastAsia="Arial" w:hAnsi="Arial"/>
                <w:sz w:val="18"/>
                <w:szCs w:val="18"/>
                <w:color w:val="auto"/>
              </w:rPr>
              <w:t>Three Months Ended</w:t>
            </w:r>
          </w:p>
        </w:tc>
        <w:tc>
          <w:tcPr>
            <w:tcW w:w="7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120" w:type="dxa"/>
            <w:vAlign w:val="bottom"/>
            <w:gridSpan w:val="3"/>
          </w:tcPr>
          <w:p>
            <w:pPr>
              <w:jc w:val="right"/>
              <w:spacing w:after="0"/>
              <w:rPr>
                <w:sz w:val="20"/>
                <w:szCs w:val="20"/>
                <w:color w:val="auto"/>
              </w:rPr>
            </w:pPr>
            <w:r>
              <w:rPr>
                <w:rFonts w:ascii="Arial" w:cs="Arial" w:eastAsia="Arial" w:hAnsi="Arial"/>
                <w:sz w:val="18"/>
                <w:szCs w:val="18"/>
                <w:color w:val="auto"/>
              </w:rPr>
              <w:t>Nine Months Ended</w:t>
            </w:r>
          </w:p>
        </w:tc>
        <w:tc>
          <w:tcPr>
            <w:tcW w:w="1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360" w:type="dxa"/>
            <w:vAlign w:val="bottom"/>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2500" w:type="dxa"/>
            <w:vAlign w:val="bottom"/>
            <w:tcBorders>
              <w:bottom w:val="single" w:sz="8" w:color="auto"/>
            </w:tcBorders>
            <w:gridSpan w:val="4"/>
          </w:tcPr>
          <w:p>
            <w:pPr>
              <w:jc w:val="right"/>
              <w:ind w:right="290"/>
              <w:spacing w:after="0"/>
              <w:rPr>
                <w:sz w:val="20"/>
                <w:szCs w:val="20"/>
                <w:color w:val="auto"/>
              </w:rPr>
            </w:pPr>
            <w:r>
              <w:rPr>
                <w:rFonts w:ascii="Arial" w:cs="Arial" w:eastAsia="Arial" w:hAnsi="Arial"/>
                <w:sz w:val="18"/>
                <w:szCs w:val="18"/>
                <w:color w:val="auto"/>
              </w:rPr>
              <w:t>September 30,2018</w:t>
            </w:r>
          </w:p>
        </w:tc>
        <w:tc>
          <w:tcPr>
            <w:tcW w:w="740" w:type="dxa"/>
            <w:vAlign w:val="bottom"/>
            <w:tcBorders>
              <w:bottom w:val="single" w:sz="8" w:color="auto"/>
            </w:tcBorders>
          </w:tcPr>
          <w:p>
            <w:pPr>
              <w:spacing w:after="0"/>
              <w:rPr>
                <w:sz w:val="21"/>
                <w:szCs w:val="21"/>
                <w:color w:val="auto"/>
              </w:rPr>
            </w:pPr>
          </w:p>
        </w:tc>
        <w:tc>
          <w:tcPr>
            <w:tcW w:w="26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21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September 30,2018</w:t>
            </w:r>
          </w:p>
        </w:tc>
        <w:tc>
          <w:tcPr>
            <w:tcW w:w="16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95"/>
        </w:trPr>
        <w:tc>
          <w:tcPr>
            <w:tcW w:w="23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140" w:type="dxa"/>
            <w:vAlign w:val="bottom"/>
            <w:gridSpan w:val="2"/>
          </w:tcPr>
          <w:p>
            <w:pPr>
              <w:jc w:val="right"/>
              <w:ind w:right="110"/>
              <w:spacing w:after="0" w:line="195" w:lineRule="exact"/>
              <w:rPr>
                <w:sz w:val="20"/>
                <w:szCs w:val="20"/>
                <w:color w:val="auto"/>
              </w:rPr>
            </w:pPr>
            <w:r>
              <w:rPr>
                <w:rFonts w:ascii="Arial" w:cs="Arial" w:eastAsia="Arial" w:hAnsi="Arial"/>
                <w:sz w:val="18"/>
                <w:szCs w:val="18"/>
                <w:color w:val="auto"/>
                <w:w w:val="96"/>
              </w:rPr>
              <w:t>Wastewater</w:t>
            </w:r>
          </w:p>
        </w:tc>
        <w:tc>
          <w:tcPr>
            <w:tcW w:w="5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00" w:type="dxa"/>
            <w:vAlign w:val="bottom"/>
          </w:tcPr>
          <w:p>
            <w:pPr>
              <w:jc w:val="right"/>
              <w:ind w:right="330"/>
              <w:spacing w:after="0" w:line="195" w:lineRule="exact"/>
              <w:rPr>
                <w:sz w:val="20"/>
                <w:szCs w:val="20"/>
                <w:color w:val="auto"/>
              </w:rPr>
            </w:pPr>
            <w:r>
              <w:rPr>
                <w:rFonts w:ascii="Arial" w:cs="Arial" w:eastAsia="Arial" w:hAnsi="Arial"/>
                <w:sz w:val="18"/>
                <w:szCs w:val="18"/>
                <w:color w:val="auto"/>
                <w:w w:val="95"/>
              </w:rPr>
              <w:t>Water</w:t>
            </w:r>
          </w:p>
        </w:tc>
        <w:tc>
          <w:tcPr>
            <w:tcW w:w="1220" w:type="dxa"/>
            <w:vAlign w:val="bottom"/>
            <w:gridSpan w:val="2"/>
          </w:tcPr>
          <w:p>
            <w:pPr>
              <w:jc w:val="right"/>
              <w:ind w:right="170"/>
              <w:spacing w:after="0" w:line="195" w:lineRule="exact"/>
              <w:rPr>
                <w:sz w:val="20"/>
                <w:szCs w:val="20"/>
                <w:color w:val="auto"/>
              </w:rPr>
            </w:pPr>
            <w:r>
              <w:rPr>
                <w:rFonts w:ascii="Arial" w:cs="Arial" w:eastAsia="Arial" w:hAnsi="Arial"/>
                <w:sz w:val="18"/>
                <w:szCs w:val="18"/>
                <w:color w:val="auto"/>
                <w:w w:val="98"/>
              </w:rPr>
              <w:t>Wastewater</w:t>
            </w:r>
          </w:p>
        </w:tc>
        <w:tc>
          <w:tcPr>
            <w:tcW w:w="160" w:type="dxa"/>
            <w:vAlign w:val="bottom"/>
          </w:tcPr>
          <w:p>
            <w:pPr>
              <w:spacing w:after="0"/>
              <w:rPr>
                <w:sz w:val="16"/>
                <w:szCs w:val="16"/>
                <w:color w:val="auto"/>
              </w:rPr>
            </w:pPr>
          </w:p>
        </w:tc>
        <w:tc>
          <w:tcPr>
            <w:tcW w:w="700" w:type="dxa"/>
            <w:vAlign w:val="bottom"/>
          </w:tcPr>
          <w:p>
            <w:pPr>
              <w:jc w:val="right"/>
              <w:ind w:right="170"/>
              <w:spacing w:after="0" w:line="195" w:lineRule="exact"/>
              <w:rPr>
                <w:sz w:val="20"/>
                <w:szCs w:val="20"/>
                <w:color w:val="auto"/>
              </w:rPr>
            </w:pPr>
            <w:r>
              <w:rPr>
                <w:rFonts w:ascii="Arial" w:cs="Arial" w:eastAsia="Arial" w:hAnsi="Arial"/>
                <w:sz w:val="18"/>
                <w:szCs w:val="18"/>
                <w:color w:val="auto"/>
                <w:w w:val="93"/>
              </w:rPr>
              <w:t>Other</w:t>
            </w:r>
          </w:p>
        </w:tc>
        <w:tc>
          <w:tcPr>
            <w:tcW w:w="0" w:type="dxa"/>
            <w:vAlign w:val="bottom"/>
          </w:tcPr>
          <w:p>
            <w:pPr>
              <w:spacing w:after="0"/>
              <w:rPr>
                <w:sz w:val="1"/>
                <w:szCs w:val="1"/>
                <w:color w:val="auto"/>
              </w:rPr>
            </w:pPr>
          </w:p>
        </w:tc>
      </w:tr>
      <w:tr>
        <w:trPr>
          <w:trHeight w:val="230"/>
        </w:trPr>
        <w:tc>
          <w:tcPr>
            <w:tcW w:w="2360" w:type="dxa"/>
            <w:vAlign w:val="bottom"/>
            <w:vMerge w:val="restart"/>
          </w:tcPr>
          <w:p>
            <w:pPr>
              <w:spacing w:after="0"/>
              <w:rPr>
                <w:sz w:val="20"/>
                <w:szCs w:val="20"/>
                <w:color w:val="auto"/>
              </w:rPr>
            </w:pPr>
            <w:r>
              <w:rPr>
                <w:rFonts w:ascii="Arial" w:cs="Arial" w:eastAsia="Arial" w:hAnsi="Arial"/>
                <w:sz w:val="18"/>
                <w:szCs w:val="18"/>
                <w:color w:val="auto"/>
                <w:w w:val="98"/>
              </w:rPr>
              <w:t>Revenues from contracts with</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w w:val="86"/>
              </w:rPr>
              <w:t>Water Revenues</w:t>
            </w:r>
          </w:p>
        </w:tc>
        <w:tc>
          <w:tcPr>
            <w:tcW w:w="160" w:type="dxa"/>
            <w:vAlign w:val="bottom"/>
          </w:tcPr>
          <w:p>
            <w:pPr>
              <w:spacing w:after="0"/>
              <w:rPr>
                <w:sz w:val="20"/>
                <w:szCs w:val="20"/>
                <w:color w:val="auto"/>
              </w:rPr>
            </w:pPr>
          </w:p>
        </w:tc>
        <w:tc>
          <w:tcPr>
            <w:tcW w:w="980" w:type="dxa"/>
            <w:vAlign w:val="bottom"/>
          </w:tcPr>
          <w:p>
            <w:pPr>
              <w:jc w:val="right"/>
              <w:ind w:right="190"/>
              <w:spacing w:after="0"/>
              <w:rPr>
                <w:sz w:val="20"/>
                <w:szCs w:val="20"/>
                <w:color w:val="auto"/>
              </w:rPr>
            </w:pPr>
            <w:r>
              <w:rPr>
                <w:rFonts w:ascii="Arial" w:cs="Arial" w:eastAsia="Arial" w:hAnsi="Arial"/>
                <w:sz w:val="18"/>
                <w:szCs w:val="18"/>
                <w:color w:val="auto"/>
                <w:w w:val="83"/>
              </w:rPr>
              <w:t>Revenues</w:t>
            </w:r>
          </w:p>
        </w:tc>
        <w:tc>
          <w:tcPr>
            <w:tcW w:w="1500" w:type="dxa"/>
            <w:vAlign w:val="bottom"/>
            <w:gridSpan w:val="3"/>
          </w:tcPr>
          <w:p>
            <w:pPr>
              <w:jc w:val="right"/>
              <w:ind w:right="320"/>
              <w:spacing w:after="0"/>
              <w:rPr>
                <w:sz w:val="20"/>
                <w:szCs w:val="20"/>
                <w:color w:val="auto"/>
              </w:rPr>
            </w:pPr>
            <w:r>
              <w:rPr>
                <w:rFonts w:ascii="Arial" w:cs="Arial" w:eastAsia="Arial" w:hAnsi="Arial"/>
                <w:sz w:val="18"/>
                <w:szCs w:val="18"/>
                <w:color w:val="auto"/>
                <w:w w:val="88"/>
              </w:rPr>
              <w:t>Other Revenues</w:t>
            </w:r>
          </w:p>
        </w:tc>
        <w:tc>
          <w:tcPr>
            <w:tcW w:w="1200" w:type="dxa"/>
            <w:vAlign w:val="bottom"/>
            <w:gridSpan w:val="2"/>
          </w:tcPr>
          <w:p>
            <w:pPr>
              <w:jc w:val="right"/>
              <w:ind w:right="190"/>
              <w:spacing w:after="0"/>
              <w:rPr>
                <w:sz w:val="20"/>
                <w:szCs w:val="20"/>
                <w:color w:val="auto"/>
              </w:rPr>
            </w:pPr>
            <w:r>
              <w:rPr>
                <w:rFonts w:ascii="Arial" w:cs="Arial" w:eastAsia="Arial" w:hAnsi="Arial"/>
                <w:sz w:val="18"/>
                <w:szCs w:val="18"/>
                <w:color w:val="auto"/>
              </w:rPr>
              <w:t>Revenues</w:t>
            </w:r>
          </w:p>
        </w:tc>
        <w:tc>
          <w:tcPr>
            <w:tcW w:w="180" w:type="dxa"/>
            <w:vAlign w:val="bottom"/>
          </w:tcPr>
          <w:p>
            <w:pPr>
              <w:spacing w:after="0"/>
              <w:rPr>
                <w:sz w:val="20"/>
                <w:szCs w:val="20"/>
                <w:color w:val="auto"/>
              </w:rPr>
            </w:pPr>
          </w:p>
        </w:tc>
        <w:tc>
          <w:tcPr>
            <w:tcW w:w="1040" w:type="dxa"/>
            <w:vAlign w:val="bottom"/>
          </w:tcPr>
          <w:p>
            <w:pPr>
              <w:jc w:val="right"/>
              <w:ind w:right="250"/>
              <w:spacing w:after="0"/>
              <w:rPr>
                <w:sz w:val="20"/>
                <w:szCs w:val="20"/>
                <w:color w:val="auto"/>
              </w:rPr>
            </w:pPr>
            <w:r>
              <w:rPr>
                <w:rFonts w:ascii="Arial" w:cs="Arial" w:eastAsia="Arial" w:hAnsi="Arial"/>
                <w:sz w:val="18"/>
                <w:szCs w:val="18"/>
                <w:color w:val="auto"/>
                <w:w w:val="83"/>
              </w:rPr>
              <w:t>Revenues</w:t>
            </w:r>
          </w:p>
        </w:tc>
        <w:tc>
          <w:tcPr>
            <w:tcW w:w="860" w:type="dxa"/>
            <w:vAlign w:val="bottom"/>
            <w:gridSpan w:val="2"/>
          </w:tcPr>
          <w:p>
            <w:pPr>
              <w:ind w:left="40"/>
              <w:spacing w:after="0"/>
              <w:rPr>
                <w:sz w:val="20"/>
                <w:szCs w:val="20"/>
                <w:color w:val="auto"/>
              </w:rPr>
            </w:pPr>
            <w:r>
              <w:rPr>
                <w:rFonts w:ascii="Arial" w:cs="Arial" w:eastAsia="Arial" w:hAnsi="Arial"/>
                <w:sz w:val="18"/>
                <w:szCs w:val="18"/>
                <w:color w:val="auto"/>
                <w:w w:val="98"/>
              </w:rPr>
              <w:t>Revenues</w:t>
            </w:r>
          </w:p>
        </w:tc>
        <w:tc>
          <w:tcPr>
            <w:tcW w:w="0" w:type="dxa"/>
            <w:vAlign w:val="bottom"/>
          </w:tcPr>
          <w:p>
            <w:pPr>
              <w:spacing w:after="0"/>
              <w:rPr>
                <w:sz w:val="1"/>
                <w:szCs w:val="1"/>
                <w:color w:val="auto"/>
              </w:rPr>
            </w:pPr>
          </w:p>
        </w:tc>
      </w:tr>
      <w:tr>
        <w:trPr>
          <w:trHeight w:val="182"/>
        </w:trPr>
        <w:tc>
          <w:tcPr>
            <w:tcW w:w="2360" w:type="dxa"/>
            <w:vAlign w:val="bottom"/>
            <w:vMerge w:val="continue"/>
          </w:tcPr>
          <w:p>
            <w:pPr>
              <w:spacing w:after="0"/>
              <w:rPr>
                <w:sz w:val="15"/>
                <w:szCs w:val="15"/>
                <w:color w:val="auto"/>
              </w:rPr>
            </w:pPr>
          </w:p>
        </w:tc>
        <w:tc>
          <w:tcPr>
            <w:tcW w:w="40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50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70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360" w:type="dxa"/>
            <w:vAlign w:val="bottom"/>
          </w:tcPr>
          <w:p>
            <w:pPr>
              <w:spacing w:after="0"/>
              <w:rPr>
                <w:sz w:val="20"/>
                <w:szCs w:val="20"/>
                <w:color w:val="auto"/>
              </w:rPr>
            </w:pPr>
            <w:r>
              <w:rPr>
                <w:rFonts w:ascii="Arial" w:cs="Arial" w:eastAsia="Arial" w:hAnsi="Arial"/>
                <w:sz w:val="18"/>
                <w:szCs w:val="18"/>
                <w:color w:val="auto"/>
              </w:rPr>
              <w:t>customers:</w:t>
            </w:r>
          </w:p>
        </w:tc>
        <w:tc>
          <w:tcPr>
            <w:tcW w:w="4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3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Residential</w:t>
            </w:r>
          </w:p>
        </w:tc>
        <w:tc>
          <w:tcPr>
            <w:tcW w:w="4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130,711</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18,799</w:t>
            </w:r>
          </w:p>
        </w:tc>
        <w:tc>
          <w:tcPr>
            <w:tcW w:w="5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1"/>
                <w:szCs w:val="21"/>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367,078</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53,915</w:t>
            </w:r>
          </w:p>
        </w:tc>
        <w:tc>
          <w:tcPr>
            <w:tcW w:w="160" w:type="dxa"/>
            <w:vAlign w:val="bottom"/>
            <w:shd w:val="clear" w:color="auto" w:fill="CCEEFF"/>
          </w:tcPr>
          <w:p>
            <w:pPr>
              <w:ind w:left="40"/>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2360" w:type="dxa"/>
            <w:vAlign w:val="bottom"/>
          </w:tcPr>
          <w:p>
            <w:pPr>
              <w:ind w:left="100"/>
              <w:spacing w:after="0"/>
              <w:rPr>
                <w:sz w:val="20"/>
                <w:szCs w:val="20"/>
                <w:color w:val="auto"/>
              </w:rPr>
            </w:pPr>
            <w:r>
              <w:rPr>
                <w:rFonts w:ascii="Arial" w:cs="Arial" w:eastAsia="Arial" w:hAnsi="Arial"/>
                <w:sz w:val="18"/>
                <w:szCs w:val="18"/>
                <w:color w:val="auto"/>
              </w:rPr>
              <w:t>Commercial</w:t>
            </w:r>
          </w:p>
        </w:tc>
        <w:tc>
          <w:tcPr>
            <w:tcW w:w="400" w:type="dxa"/>
            <w:vAlign w:val="bottom"/>
          </w:tcPr>
          <w:p>
            <w:pPr>
              <w:spacing w:after="0"/>
              <w:rPr>
                <w:sz w:val="21"/>
                <w:szCs w:val="21"/>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37,608</w:t>
            </w: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3,610</w:t>
            </w:r>
          </w:p>
        </w:tc>
        <w:tc>
          <w:tcPr>
            <w:tcW w:w="5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101,405</w:t>
            </w:r>
          </w:p>
        </w:tc>
        <w:tc>
          <w:tcPr>
            <w:tcW w:w="180" w:type="dxa"/>
            <w:vAlign w:val="bottom"/>
          </w:tcPr>
          <w:p>
            <w:pPr>
              <w:spacing w:after="0"/>
              <w:rPr>
                <w:sz w:val="21"/>
                <w:szCs w:val="21"/>
                <w:color w:val="auto"/>
              </w:rPr>
            </w:pPr>
          </w:p>
        </w:tc>
        <w:tc>
          <w:tcPr>
            <w:tcW w:w="1040" w:type="dxa"/>
            <w:vAlign w:val="bottom"/>
          </w:tcPr>
          <w:p>
            <w:pPr>
              <w:jc w:val="right"/>
              <w:ind w:right="50"/>
              <w:spacing w:after="0"/>
              <w:rPr>
                <w:sz w:val="20"/>
                <w:szCs w:val="20"/>
                <w:color w:val="auto"/>
              </w:rPr>
            </w:pPr>
            <w:r>
              <w:rPr>
                <w:rFonts w:ascii="Arial" w:cs="Arial" w:eastAsia="Arial" w:hAnsi="Arial"/>
                <w:sz w:val="18"/>
                <w:szCs w:val="18"/>
                <w:color w:val="auto"/>
              </w:rPr>
              <w:t>9,473</w:t>
            </w:r>
          </w:p>
        </w:tc>
        <w:tc>
          <w:tcPr>
            <w:tcW w:w="16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23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Fire protection</w:t>
            </w:r>
          </w:p>
        </w:tc>
        <w:tc>
          <w:tcPr>
            <w:tcW w:w="400" w:type="dxa"/>
            <w:vAlign w:val="bottom"/>
            <w:shd w:val="clear" w:color="auto" w:fill="CCEEFF"/>
          </w:tcPr>
          <w:p>
            <w:pPr>
              <w:spacing w:after="0"/>
              <w:rPr>
                <w:sz w:val="21"/>
                <w:szCs w:val="21"/>
                <w:color w:val="auto"/>
              </w:rPr>
            </w:pPr>
          </w:p>
        </w:tc>
        <w:tc>
          <w:tcPr>
            <w:tcW w:w="8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8,196</w:t>
            </w:r>
          </w:p>
        </w:tc>
        <w:tc>
          <w:tcPr>
            <w:tcW w:w="160" w:type="dxa"/>
            <w:vAlign w:val="bottom"/>
            <w:shd w:val="clear" w:color="auto" w:fill="CCEEFF"/>
          </w:tcPr>
          <w:p>
            <w:pPr>
              <w:spacing w:after="0"/>
              <w:rPr>
                <w:sz w:val="21"/>
                <w:szCs w:val="21"/>
                <w:color w:val="auto"/>
              </w:rPr>
            </w:pP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24,103</w:t>
            </w:r>
          </w:p>
        </w:tc>
        <w:tc>
          <w:tcPr>
            <w:tcW w:w="180" w:type="dxa"/>
            <w:vAlign w:val="bottom"/>
            <w:shd w:val="clear" w:color="auto" w:fill="CCEEFF"/>
          </w:tcPr>
          <w:p>
            <w:pPr>
              <w:spacing w:after="0"/>
              <w:rPr>
                <w:sz w:val="21"/>
                <w:szCs w:val="21"/>
                <w:color w:val="auto"/>
              </w:rPr>
            </w:pPr>
          </w:p>
        </w:tc>
        <w:tc>
          <w:tcPr>
            <w:tcW w:w="10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1"/>
                <w:szCs w:val="21"/>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2360" w:type="dxa"/>
            <w:vAlign w:val="bottom"/>
          </w:tcPr>
          <w:p>
            <w:pPr>
              <w:ind w:left="100"/>
              <w:spacing w:after="0"/>
              <w:rPr>
                <w:sz w:val="20"/>
                <w:szCs w:val="20"/>
                <w:color w:val="auto"/>
              </w:rPr>
            </w:pPr>
            <w:r>
              <w:rPr>
                <w:rFonts w:ascii="Arial" w:cs="Arial" w:eastAsia="Arial" w:hAnsi="Arial"/>
                <w:sz w:val="18"/>
                <w:szCs w:val="18"/>
                <w:color w:val="auto"/>
              </w:rPr>
              <w:t>Industrial</w:t>
            </w:r>
          </w:p>
        </w:tc>
        <w:tc>
          <w:tcPr>
            <w:tcW w:w="400" w:type="dxa"/>
            <w:vAlign w:val="bottom"/>
          </w:tcPr>
          <w:p>
            <w:pPr>
              <w:spacing w:after="0"/>
              <w:rPr>
                <w:sz w:val="21"/>
                <w:szCs w:val="21"/>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8,233</w:t>
            </w: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451</w:t>
            </w:r>
          </w:p>
        </w:tc>
        <w:tc>
          <w:tcPr>
            <w:tcW w:w="5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21,902</w:t>
            </w:r>
          </w:p>
        </w:tc>
        <w:tc>
          <w:tcPr>
            <w:tcW w:w="180" w:type="dxa"/>
            <w:vAlign w:val="bottom"/>
          </w:tcPr>
          <w:p>
            <w:pPr>
              <w:spacing w:after="0"/>
              <w:rPr>
                <w:sz w:val="21"/>
                <w:szCs w:val="21"/>
                <w:color w:val="auto"/>
              </w:rPr>
            </w:pPr>
          </w:p>
        </w:tc>
        <w:tc>
          <w:tcPr>
            <w:tcW w:w="1040" w:type="dxa"/>
            <w:vAlign w:val="bottom"/>
          </w:tcPr>
          <w:p>
            <w:pPr>
              <w:jc w:val="right"/>
              <w:ind w:right="50"/>
              <w:spacing w:after="0"/>
              <w:rPr>
                <w:sz w:val="20"/>
                <w:szCs w:val="20"/>
                <w:color w:val="auto"/>
              </w:rPr>
            </w:pPr>
            <w:r>
              <w:rPr>
                <w:rFonts w:ascii="Arial" w:cs="Arial" w:eastAsia="Arial" w:hAnsi="Arial"/>
                <w:sz w:val="18"/>
                <w:szCs w:val="18"/>
                <w:color w:val="auto"/>
              </w:rPr>
              <w:t>1,427</w:t>
            </w:r>
          </w:p>
        </w:tc>
        <w:tc>
          <w:tcPr>
            <w:tcW w:w="16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23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Other water</w:t>
            </w:r>
          </w:p>
        </w:tc>
        <w:tc>
          <w:tcPr>
            <w:tcW w:w="400" w:type="dxa"/>
            <w:vAlign w:val="bottom"/>
            <w:shd w:val="clear" w:color="auto" w:fill="CCEEFF"/>
          </w:tcPr>
          <w:p>
            <w:pPr>
              <w:spacing w:after="0"/>
              <w:rPr>
                <w:sz w:val="21"/>
                <w:szCs w:val="21"/>
                <w:color w:val="auto"/>
              </w:rPr>
            </w:pPr>
          </w:p>
        </w:tc>
        <w:tc>
          <w:tcPr>
            <w:tcW w:w="8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14,579</w:t>
            </w:r>
          </w:p>
        </w:tc>
        <w:tc>
          <w:tcPr>
            <w:tcW w:w="160" w:type="dxa"/>
            <w:vAlign w:val="bottom"/>
            <w:shd w:val="clear" w:color="auto" w:fill="CCEEFF"/>
          </w:tcPr>
          <w:p>
            <w:pPr>
              <w:spacing w:after="0"/>
              <w:rPr>
                <w:sz w:val="21"/>
                <w:szCs w:val="21"/>
                <w:color w:val="auto"/>
              </w:rPr>
            </w:pP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39,821</w:t>
            </w:r>
          </w:p>
        </w:tc>
        <w:tc>
          <w:tcPr>
            <w:tcW w:w="180" w:type="dxa"/>
            <w:vAlign w:val="bottom"/>
            <w:shd w:val="clear" w:color="auto" w:fill="CCEEFF"/>
          </w:tcPr>
          <w:p>
            <w:pPr>
              <w:spacing w:after="0"/>
              <w:rPr>
                <w:sz w:val="21"/>
                <w:szCs w:val="21"/>
                <w:color w:val="auto"/>
              </w:rPr>
            </w:pPr>
          </w:p>
        </w:tc>
        <w:tc>
          <w:tcPr>
            <w:tcW w:w="10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1"/>
                <w:szCs w:val="21"/>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2360" w:type="dxa"/>
            <w:vAlign w:val="bottom"/>
          </w:tcPr>
          <w:p>
            <w:pPr>
              <w:ind w:left="100"/>
              <w:spacing w:after="0"/>
              <w:rPr>
                <w:sz w:val="20"/>
                <w:szCs w:val="20"/>
                <w:color w:val="auto"/>
              </w:rPr>
            </w:pPr>
            <w:r>
              <w:rPr>
                <w:rFonts w:ascii="Arial" w:cs="Arial" w:eastAsia="Arial" w:hAnsi="Arial"/>
                <w:sz w:val="18"/>
                <w:szCs w:val="18"/>
                <w:color w:val="auto"/>
              </w:rPr>
              <w:t>Other wastewater</w:t>
            </w:r>
          </w:p>
        </w:tc>
        <w:tc>
          <w:tcPr>
            <w:tcW w:w="400" w:type="dxa"/>
            <w:vAlign w:val="bottom"/>
          </w:tcPr>
          <w:p>
            <w:pPr>
              <w:spacing w:after="0"/>
              <w:rPr>
                <w:sz w:val="21"/>
                <w:szCs w:val="21"/>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1,684</w:t>
            </w:r>
          </w:p>
        </w:tc>
        <w:tc>
          <w:tcPr>
            <w:tcW w:w="5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40" w:type="dxa"/>
            <w:vAlign w:val="bottom"/>
          </w:tcPr>
          <w:p>
            <w:pPr>
              <w:jc w:val="right"/>
              <w:ind w:right="50"/>
              <w:spacing w:after="0"/>
              <w:rPr>
                <w:sz w:val="20"/>
                <w:szCs w:val="20"/>
                <w:color w:val="auto"/>
              </w:rPr>
            </w:pPr>
            <w:r>
              <w:rPr>
                <w:rFonts w:ascii="Arial" w:cs="Arial" w:eastAsia="Arial" w:hAnsi="Arial"/>
                <w:sz w:val="18"/>
                <w:szCs w:val="18"/>
                <w:color w:val="auto"/>
              </w:rPr>
              <w:t>4,381</w:t>
            </w:r>
          </w:p>
        </w:tc>
        <w:tc>
          <w:tcPr>
            <w:tcW w:w="16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23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Other utility</w:t>
            </w:r>
          </w:p>
        </w:tc>
        <w:tc>
          <w:tcPr>
            <w:tcW w:w="40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auto"/>
            </w:tcBorders>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2,310</w:t>
            </w:r>
          </w:p>
        </w:tc>
        <w:tc>
          <w:tcPr>
            <w:tcW w:w="26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auto"/>
            </w:tcBorders>
            <w:shd w:val="clear" w:color="auto" w:fill="CCEEFF"/>
          </w:tcPr>
          <w:p>
            <w:pPr>
              <w:spacing w:after="0"/>
              <w:rPr>
                <w:sz w:val="21"/>
                <w:szCs w:val="21"/>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6,963</w:t>
            </w:r>
          </w:p>
        </w:tc>
        <w:tc>
          <w:tcPr>
            <w:tcW w:w="0" w:type="dxa"/>
            <w:vAlign w:val="bottom"/>
          </w:tcPr>
          <w:p>
            <w:pPr>
              <w:spacing w:after="0"/>
              <w:rPr>
                <w:sz w:val="1"/>
                <w:szCs w:val="1"/>
                <w:color w:val="auto"/>
              </w:rPr>
            </w:pPr>
          </w:p>
        </w:tc>
      </w:tr>
      <w:tr>
        <w:trPr>
          <w:trHeight w:val="182"/>
        </w:trPr>
        <w:tc>
          <w:tcPr>
            <w:tcW w:w="2360" w:type="dxa"/>
            <w:vAlign w:val="bottom"/>
          </w:tcPr>
          <w:p>
            <w:pPr>
              <w:spacing w:after="0" w:line="182" w:lineRule="exact"/>
              <w:rPr>
                <w:sz w:val="20"/>
                <w:szCs w:val="20"/>
                <w:color w:val="auto"/>
              </w:rPr>
            </w:pPr>
            <w:r>
              <w:rPr>
                <w:rFonts w:ascii="Arial" w:cs="Arial" w:eastAsia="Arial" w:hAnsi="Arial"/>
                <w:sz w:val="18"/>
                <w:szCs w:val="18"/>
                <w:color w:val="auto"/>
                <w:w w:val="98"/>
              </w:rPr>
              <w:t>Revenues from contracts with</w:t>
            </w:r>
          </w:p>
        </w:tc>
        <w:tc>
          <w:tcPr>
            <w:tcW w:w="4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360" w:type="dxa"/>
            <w:vAlign w:val="bottom"/>
          </w:tcPr>
          <w:p>
            <w:pPr>
              <w:spacing w:after="0"/>
              <w:rPr>
                <w:sz w:val="20"/>
                <w:szCs w:val="20"/>
                <w:color w:val="auto"/>
              </w:rPr>
            </w:pPr>
            <w:r>
              <w:rPr>
                <w:rFonts w:ascii="Arial" w:cs="Arial" w:eastAsia="Arial" w:hAnsi="Arial"/>
                <w:sz w:val="18"/>
                <w:szCs w:val="18"/>
                <w:color w:val="auto"/>
              </w:rPr>
              <w:t>customers</w:t>
            </w:r>
          </w:p>
        </w:tc>
        <w:tc>
          <w:tcPr>
            <w:tcW w:w="400" w:type="dxa"/>
            <w:vAlign w:val="bottom"/>
          </w:tcPr>
          <w:p>
            <w:pPr>
              <w:spacing w:after="0"/>
              <w:rPr>
                <w:sz w:val="20"/>
                <w:szCs w:val="20"/>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199,327</w:t>
            </w:r>
          </w:p>
        </w:tc>
        <w:tc>
          <w:tcPr>
            <w:tcW w:w="1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24,544</w:t>
            </w:r>
          </w:p>
        </w:tc>
        <w:tc>
          <w:tcPr>
            <w:tcW w:w="5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2,310</w:t>
            </w:r>
          </w:p>
        </w:tc>
        <w:tc>
          <w:tcPr>
            <w:tcW w:w="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554,309</w:t>
            </w:r>
          </w:p>
        </w:tc>
        <w:tc>
          <w:tcPr>
            <w:tcW w:w="180" w:type="dxa"/>
            <w:vAlign w:val="bottom"/>
          </w:tcPr>
          <w:p>
            <w:pPr>
              <w:spacing w:after="0"/>
              <w:rPr>
                <w:sz w:val="20"/>
                <w:szCs w:val="20"/>
                <w:color w:val="auto"/>
              </w:rPr>
            </w:pPr>
          </w:p>
        </w:tc>
        <w:tc>
          <w:tcPr>
            <w:tcW w:w="1040" w:type="dxa"/>
            <w:vAlign w:val="bottom"/>
          </w:tcPr>
          <w:p>
            <w:pPr>
              <w:jc w:val="right"/>
              <w:ind w:right="50"/>
              <w:spacing w:after="0"/>
              <w:rPr>
                <w:sz w:val="20"/>
                <w:szCs w:val="20"/>
                <w:color w:val="auto"/>
              </w:rPr>
            </w:pPr>
            <w:r>
              <w:rPr>
                <w:rFonts w:ascii="Arial" w:cs="Arial" w:eastAsia="Arial" w:hAnsi="Arial"/>
                <w:sz w:val="18"/>
                <w:szCs w:val="18"/>
                <w:color w:val="auto"/>
              </w:rPr>
              <w:t>69,196</w:t>
            </w:r>
          </w:p>
        </w:tc>
        <w:tc>
          <w:tcPr>
            <w:tcW w:w="16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6,963</w:t>
            </w:r>
          </w:p>
        </w:tc>
        <w:tc>
          <w:tcPr>
            <w:tcW w:w="0" w:type="dxa"/>
            <w:vAlign w:val="bottom"/>
          </w:tcPr>
          <w:p>
            <w:pPr>
              <w:spacing w:after="0"/>
              <w:rPr>
                <w:sz w:val="1"/>
                <w:szCs w:val="1"/>
                <w:color w:val="auto"/>
              </w:rPr>
            </w:pPr>
          </w:p>
        </w:tc>
      </w:tr>
      <w:tr>
        <w:trPr>
          <w:trHeight w:val="243"/>
        </w:trPr>
        <w:tc>
          <w:tcPr>
            <w:tcW w:w="2360" w:type="dxa"/>
            <w:vAlign w:val="bottom"/>
            <w:shd w:val="clear" w:color="auto" w:fill="CCEEFF"/>
          </w:tcPr>
          <w:p>
            <w:pPr>
              <w:spacing w:after="0"/>
              <w:rPr>
                <w:sz w:val="20"/>
                <w:szCs w:val="20"/>
                <w:color w:val="auto"/>
              </w:rPr>
            </w:pPr>
            <w:r>
              <w:rPr>
                <w:rFonts w:ascii="Arial" w:cs="Arial" w:eastAsia="Arial" w:hAnsi="Arial"/>
                <w:sz w:val="18"/>
                <w:szCs w:val="18"/>
                <w:color w:val="auto"/>
              </w:rPr>
              <w:t>Alternative revenue program</w:t>
            </w:r>
          </w:p>
        </w:tc>
        <w:tc>
          <w:tcPr>
            <w:tcW w:w="40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(695)</w:t>
            </w:r>
          </w:p>
        </w:tc>
        <w:tc>
          <w:tcPr>
            <w:tcW w:w="16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50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(815)</w:t>
            </w:r>
          </w:p>
        </w:tc>
        <w:tc>
          <w:tcPr>
            <w:tcW w:w="180" w:type="dxa"/>
            <w:vAlign w:val="bottom"/>
            <w:shd w:val="clear" w:color="auto" w:fill="CCEEFF"/>
          </w:tcPr>
          <w:p>
            <w:pPr>
              <w:spacing w:after="0"/>
              <w:rPr>
                <w:sz w:val="21"/>
                <w:szCs w:val="21"/>
                <w:color w:val="auto"/>
              </w:rPr>
            </w:pPr>
          </w:p>
        </w:tc>
        <w:tc>
          <w:tcPr>
            <w:tcW w:w="10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39</w:t>
            </w:r>
          </w:p>
        </w:tc>
        <w:tc>
          <w:tcPr>
            <w:tcW w:w="160" w:type="dxa"/>
            <w:vAlign w:val="bottom"/>
            <w:shd w:val="clear" w:color="auto" w:fill="CCEEFF"/>
          </w:tcPr>
          <w:p>
            <w:pPr>
              <w:spacing w:after="0"/>
              <w:rPr>
                <w:sz w:val="21"/>
                <w:szCs w:val="21"/>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23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 and eliminations</w:t>
            </w:r>
          </w:p>
        </w:tc>
        <w:tc>
          <w:tcPr>
            <w:tcW w:w="40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776</w:t>
            </w:r>
          </w:p>
        </w:tc>
        <w:tc>
          <w:tcPr>
            <w:tcW w:w="26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2,652</w:t>
            </w:r>
          </w:p>
        </w:tc>
        <w:tc>
          <w:tcPr>
            <w:tcW w:w="0" w:type="dxa"/>
            <w:vAlign w:val="bottom"/>
          </w:tcPr>
          <w:p>
            <w:pPr>
              <w:spacing w:after="0"/>
              <w:rPr>
                <w:sz w:val="1"/>
                <w:szCs w:val="1"/>
                <w:color w:val="auto"/>
              </w:rPr>
            </w:pPr>
          </w:p>
        </w:tc>
      </w:tr>
      <w:tr>
        <w:trPr>
          <w:trHeight w:val="217"/>
        </w:trPr>
        <w:tc>
          <w:tcPr>
            <w:tcW w:w="23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Consolidated</w:t>
            </w:r>
          </w:p>
        </w:tc>
        <w:tc>
          <w:tcPr>
            <w:tcW w:w="4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198,632</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24,419</w:t>
            </w:r>
          </w:p>
        </w:tc>
        <w:tc>
          <w:tcPr>
            <w:tcW w:w="50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3,086</w:t>
            </w:r>
          </w:p>
        </w:tc>
        <w:tc>
          <w:tcPr>
            <w:tcW w:w="26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553,494</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69,235</w:t>
            </w:r>
          </w:p>
        </w:tc>
        <w:tc>
          <w:tcPr>
            <w:tcW w:w="16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9,615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 xml:space="preserve">Revenues from Contracts with Customers – </w:t>
      </w:r>
      <w:r>
        <w:rPr>
          <w:rFonts w:ascii="Arial" w:cs="Arial" w:eastAsia="Arial" w:hAnsi="Arial"/>
          <w:sz w:val="19"/>
          <w:szCs w:val="19"/>
          <w:color w:val="auto"/>
        </w:rPr>
        <w:t>These revenues are composed of three main categories: water,</w:t>
      </w:r>
    </w:p>
    <w:p>
      <w:pPr>
        <w:spacing w:after="0" w:line="43" w:lineRule="exact"/>
        <w:rPr>
          <w:sz w:val="20"/>
          <w:szCs w:val="20"/>
          <w:color w:val="auto"/>
        </w:rPr>
      </w:pPr>
    </w:p>
    <w:p>
      <w:pPr>
        <w:spacing w:after="0"/>
        <w:rPr>
          <w:sz w:val="20"/>
          <w:szCs w:val="20"/>
          <w:color w:val="auto"/>
        </w:rPr>
      </w:pPr>
      <w:r>
        <w:rPr>
          <w:rFonts w:ascii="Arial" w:cs="Arial" w:eastAsia="Arial" w:hAnsi="Arial"/>
          <w:sz w:val="21"/>
          <w:szCs w:val="21"/>
          <w:color w:val="auto"/>
        </w:rPr>
        <w:t>wastewater, and other. Water revenues represent revenues earned for supplying customers with water</w:t>
      </w:r>
    </w:p>
    <w:p>
      <w:pPr>
        <w:spacing w:after="0" w:line="2" w:lineRule="exact"/>
        <w:rPr>
          <w:sz w:val="20"/>
          <w:szCs w:val="20"/>
          <w:color w:val="auto"/>
        </w:rPr>
      </w:pPr>
    </w:p>
    <w:p>
      <w:pPr>
        <w:spacing w:after="0"/>
        <w:rPr>
          <w:sz w:val="20"/>
          <w:szCs w:val="20"/>
          <w:color w:val="auto"/>
        </w:rPr>
      </w:pPr>
      <w:r>
        <w:rPr>
          <w:rFonts w:ascii="Arial" w:cs="Arial" w:eastAsia="Arial" w:hAnsi="Arial"/>
          <w:sz w:val="19"/>
          <w:szCs w:val="19"/>
          <w:color w:val="auto"/>
        </w:rPr>
        <w:t>service. Wastewater revenues represent revenues earned for treating wastewater and releasing it into the water</w:t>
      </w:r>
    </w:p>
    <w:p>
      <w:pPr>
        <w:spacing w:after="0" w:line="25" w:lineRule="exact"/>
        <w:rPr>
          <w:sz w:val="20"/>
          <w:szCs w:val="20"/>
          <w:color w:val="auto"/>
        </w:rPr>
      </w:pPr>
    </w:p>
    <w:p>
      <w:pPr>
        <w:spacing w:after="0"/>
        <w:rPr>
          <w:sz w:val="20"/>
          <w:szCs w:val="20"/>
          <w:color w:val="auto"/>
        </w:rPr>
      </w:pPr>
      <w:r>
        <w:rPr>
          <w:rFonts w:ascii="Arial" w:cs="Arial" w:eastAsia="Arial" w:hAnsi="Arial"/>
          <w:sz w:val="21"/>
          <w:szCs w:val="21"/>
          <w:color w:val="auto"/>
        </w:rPr>
        <w:t>supply. Other revenues are associated fees that relate to the regulated business but are not water and</w:t>
      </w:r>
    </w:p>
    <w:p>
      <w:pPr>
        <w:spacing w:after="0" w:line="2" w:lineRule="exact"/>
        <w:rPr>
          <w:sz w:val="20"/>
          <w:szCs w:val="20"/>
          <w:color w:val="auto"/>
        </w:rPr>
      </w:pPr>
    </w:p>
    <w:p>
      <w:pPr>
        <w:spacing w:after="0"/>
        <w:rPr>
          <w:sz w:val="20"/>
          <w:szCs w:val="20"/>
          <w:color w:val="auto"/>
        </w:rPr>
      </w:pPr>
      <w:r>
        <w:rPr>
          <w:rFonts w:ascii="Arial" w:cs="Arial" w:eastAsia="Arial" w:hAnsi="Arial"/>
          <w:sz w:val="19"/>
          <w:szCs w:val="19"/>
          <w:color w:val="auto"/>
        </w:rPr>
        <w:t>wastewater revenues. See description below for a discussion on the performance obligation for each of these</w:t>
      </w:r>
    </w:p>
    <w:p>
      <w:pPr>
        <w:spacing w:after="0" w:line="25" w:lineRule="exact"/>
        <w:rPr>
          <w:sz w:val="20"/>
          <w:szCs w:val="20"/>
          <w:color w:val="auto"/>
        </w:rPr>
      </w:pPr>
    </w:p>
    <w:p>
      <w:pPr>
        <w:spacing w:after="0"/>
        <w:rPr>
          <w:sz w:val="20"/>
          <w:szCs w:val="20"/>
          <w:color w:val="auto"/>
        </w:rPr>
      </w:pPr>
      <w:r>
        <w:rPr>
          <w:rFonts w:ascii="Arial" w:cs="Arial" w:eastAsia="Arial" w:hAnsi="Arial"/>
          <w:sz w:val="22"/>
          <w:szCs w:val="22"/>
          <w:color w:val="auto"/>
        </w:rPr>
        <w:t>revenue streams.</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63500</wp:posOffset>
            </wp:positionV>
            <wp:extent cx="6114415" cy="514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114415" cy="51435"/>
                    </a:xfrm>
                    <a:prstGeom prst="rect">
                      <a:avLst/>
                    </a:prstGeom>
                    <a:noFill/>
                  </pic:spPr>
                </pic:pic>
              </a:graphicData>
            </a:graphic>
          </wp:anchor>
        </w:drawing>
      </w:r>
    </w:p>
    <w:p>
      <w:pPr>
        <w:sectPr>
          <w:pgSz w:w="11900" w:h="16838" w:orient="portrait"/>
          <w:cols w:equalWidth="0" w:num="1">
            <w:col w:w="9560"/>
          </w:cols>
          <w:pgMar w:left="1220" w:top="118" w:right="1119" w:bottom="1440" w:gutter="0" w:footer="0" w:header="0"/>
        </w:sectPr>
      </w:pPr>
    </w:p>
    <w:bookmarkStart w:id="12" w:name="page13"/>
    <w:bookmarkEnd w:id="12"/>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AQUA AMERICA, INC. AND SUBSIDIARIES NOTES TO CONSOLIDATED FINANCIAL STATEMENTS (continued) (In thousands of dollars, except per share amounts) (UNAUDITED)</w:t>
      </w:r>
    </w:p>
    <w:p>
      <w:pPr>
        <w:spacing w:after="0" w:line="200" w:lineRule="exact"/>
        <w:rPr>
          <w:sz w:val="20"/>
          <w:szCs w:val="20"/>
          <w:color w:val="auto"/>
        </w:rPr>
      </w:pPr>
    </w:p>
    <w:p>
      <w:pPr>
        <w:spacing w:after="0" w:line="239" w:lineRule="exact"/>
        <w:rPr>
          <w:sz w:val="20"/>
          <w:szCs w:val="20"/>
          <w:color w:val="auto"/>
        </w:rPr>
      </w:pPr>
    </w:p>
    <w:p>
      <w:pPr>
        <w:ind w:right="20"/>
        <w:spacing w:after="0" w:line="244" w:lineRule="auto"/>
        <w:rPr>
          <w:sz w:val="20"/>
          <w:szCs w:val="20"/>
          <w:color w:val="auto"/>
        </w:rPr>
      </w:pPr>
      <w:r>
        <w:rPr>
          <w:rFonts w:ascii="Arial" w:cs="Arial" w:eastAsia="Arial" w:hAnsi="Arial"/>
          <w:sz w:val="21"/>
          <w:szCs w:val="21"/>
          <w:b w:val="1"/>
          <w:bCs w:val="1"/>
          <w:i w:val="1"/>
          <w:iCs w:val="1"/>
          <w:color w:val="auto"/>
        </w:rPr>
        <w:t xml:space="preserve">Tariff Revenues – </w:t>
      </w:r>
      <w:r>
        <w:rPr>
          <w:rFonts w:ascii="Arial" w:cs="Arial" w:eastAsia="Arial" w:hAnsi="Arial"/>
          <w:sz w:val="21"/>
          <w:szCs w:val="21"/>
          <w:color w:val="auto"/>
        </w:rPr>
        <w:t>These revenues are categorized by customer class: residential, commercial, fire protection,</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industrial, and other water and other wastewater. The rates that generate these revenues are approved by the respective state utility commission, and revenues are billed cyclically and accrued for when unbilled. Other water and other wastewater revenues consist primarily of fines, penalties, surcharges, and availability lot fees. Our performance obligation for tariff revenues is to provide potable water or wastewater treatment service to customers. This performance obligation is satisfied over time as the services are rendered. The amounts that the Company has a right to invoice for tariff revenues reflect the right to consideration from the customers in an amount that corresponds directly with the value transferred to the customer for the performance completed to date. The Company elected to use the right to invoice practical expedient for these revenues as the Company recognizes revenue in the amount for which the Company has the right to invoice the customer.</w:t>
      </w:r>
    </w:p>
    <w:p>
      <w:pPr>
        <w:spacing w:after="0" w:line="217" w:lineRule="exact"/>
        <w:rPr>
          <w:sz w:val="20"/>
          <w:szCs w:val="20"/>
          <w:color w:val="auto"/>
        </w:rPr>
      </w:pPr>
    </w:p>
    <w:p>
      <w:pPr>
        <w:ind w:right="60"/>
        <w:spacing w:after="0" w:line="279" w:lineRule="auto"/>
        <w:rPr>
          <w:sz w:val="20"/>
          <w:szCs w:val="20"/>
          <w:color w:val="auto"/>
        </w:rPr>
      </w:pPr>
      <w:r>
        <w:rPr>
          <w:rFonts w:ascii="Arial" w:cs="Arial" w:eastAsia="Arial" w:hAnsi="Arial"/>
          <w:sz w:val="19"/>
          <w:szCs w:val="19"/>
          <w:b w:val="1"/>
          <w:bCs w:val="1"/>
          <w:i w:val="1"/>
          <w:iCs w:val="1"/>
          <w:color w:val="auto"/>
        </w:rPr>
        <w:t xml:space="preserve">Other Utility Revenues – </w:t>
      </w:r>
      <w:r>
        <w:rPr>
          <w:rFonts w:ascii="Arial" w:cs="Arial" w:eastAsia="Arial" w:hAnsi="Arial"/>
          <w:sz w:val="19"/>
          <w:szCs w:val="19"/>
          <w:color w:val="auto"/>
        </w:rPr>
        <w:t>Other utility revenues represent revenues earned primarily from: antenna revenues,</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which represent fees received from telecommunication operators that have put cellular antennas on our water towers, operation and maintenance and billing contracts, which represent fees earned from municipalities for our operation of their water or wastewater treatment services or performing billing services, and fees earned from developers for accessing our water mains. The performance obligations vary for these revenues, but all are primarily recognized over time as the service is delivered.</w:t>
      </w:r>
    </w:p>
    <w:p>
      <w:pPr>
        <w:spacing w:after="0" w:line="178" w:lineRule="exact"/>
        <w:rPr>
          <w:sz w:val="20"/>
          <w:szCs w:val="20"/>
          <w:color w:val="auto"/>
        </w:rPr>
      </w:pPr>
    </w:p>
    <w:p>
      <w:pPr>
        <w:spacing w:after="0" w:line="275" w:lineRule="auto"/>
        <w:rPr>
          <w:sz w:val="20"/>
          <w:szCs w:val="20"/>
          <w:color w:val="auto"/>
        </w:rPr>
      </w:pPr>
      <w:r>
        <w:rPr>
          <w:rFonts w:ascii="Arial" w:cs="Arial" w:eastAsia="Arial" w:hAnsi="Arial"/>
          <w:sz w:val="19"/>
          <w:szCs w:val="19"/>
          <w:b w:val="1"/>
          <w:bCs w:val="1"/>
          <w:i w:val="1"/>
          <w:iCs w:val="1"/>
          <w:color w:val="auto"/>
        </w:rPr>
        <w:t xml:space="preserve">Alternative Revenue Program – </w:t>
      </w:r>
      <w:r>
        <w:rPr>
          <w:rFonts w:ascii="Arial" w:cs="Arial" w:eastAsia="Arial" w:hAnsi="Arial"/>
          <w:sz w:val="19"/>
          <w:szCs w:val="19"/>
          <w:color w:val="auto"/>
        </w:rPr>
        <w:t>These revenues represent the difference between the actual billed utility</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water and wastewater revenues for Aqua Illinois and the revenues set in the last Aqua Illinois rate case. We recognize revenues based on the target amount established in the last rate case, and then record either a regulatory asset or liability based on the cumulative annual difference between the target and actual, which results in either a refund due to customers or a payment from customers. The cumulative annual difference is either refunded to customers or collected from customers over a nine-month period. This revenue program represents a contract between the utility and its regulators, not customers, and therefore is not within the scope of the FASB’s accounting guidance for recognizing revenue from contracts with customers.</w:t>
      </w:r>
    </w:p>
    <w:p>
      <w:pPr>
        <w:spacing w:after="0" w:line="185" w:lineRule="exact"/>
        <w:rPr>
          <w:sz w:val="20"/>
          <w:szCs w:val="20"/>
          <w:color w:val="auto"/>
        </w:rPr>
      </w:pPr>
    </w:p>
    <w:p>
      <w:pPr>
        <w:ind w:right="280"/>
        <w:spacing w:after="0"/>
        <w:rPr>
          <w:sz w:val="20"/>
          <w:szCs w:val="20"/>
          <w:color w:val="auto"/>
        </w:rPr>
      </w:pPr>
      <w:r>
        <w:rPr>
          <w:rFonts w:ascii="Arial" w:cs="Arial" w:eastAsia="Arial" w:hAnsi="Arial"/>
          <w:sz w:val="22"/>
          <w:szCs w:val="22"/>
          <w:b w:val="1"/>
          <w:bCs w:val="1"/>
          <w:i w:val="1"/>
          <w:iCs w:val="1"/>
          <w:color w:val="auto"/>
        </w:rPr>
        <w:t xml:space="preserve">Other and Eliminations – </w:t>
      </w:r>
      <w:r>
        <w:rPr>
          <w:rFonts w:ascii="Arial" w:cs="Arial" w:eastAsia="Arial" w:hAnsi="Arial"/>
          <w:sz w:val="22"/>
          <w:szCs w:val="22"/>
          <w:color w:val="auto"/>
        </w:rPr>
        <w:t>Other and eliminations consist of our market-based revenues, which</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comprises: Aqua Infrastructure and Aqua Resources (described below), and intercompany eliminations for revenue billed between our subsidiaries.</w:t>
      </w:r>
    </w:p>
    <w:p>
      <w:pPr>
        <w:spacing w:after="0" w:line="213" w:lineRule="exact"/>
        <w:rPr>
          <w:sz w:val="20"/>
          <w:szCs w:val="20"/>
          <w:color w:val="auto"/>
        </w:rPr>
      </w:pPr>
    </w:p>
    <w:p>
      <w:pPr>
        <w:ind w:right="140"/>
        <w:spacing w:after="0" w:line="234" w:lineRule="auto"/>
        <w:rPr>
          <w:sz w:val="20"/>
          <w:szCs w:val="20"/>
          <w:color w:val="auto"/>
        </w:rPr>
      </w:pPr>
      <w:r>
        <w:rPr>
          <w:rFonts w:ascii="Arial" w:cs="Arial" w:eastAsia="Arial" w:hAnsi="Arial"/>
          <w:sz w:val="22"/>
          <w:szCs w:val="22"/>
          <w:color w:val="auto"/>
        </w:rPr>
        <w:t>Aqua Infrastructure is the holding company for our 49% investment in a joint venture that operates a private pipeline system to supply raw water to natural gas well drilling operations in the Marcellus Shale of north central Pennsylvania. The joint venture earns revenues through providing non-utility raw water supply services to natural gas drilling companies which enter into water supply contracts. The performance obligation is to deliver non-potable water to the joint venture’s customers. Aqua Infrastructure’s share of the revenues recognized by the joint venture is reflected, net, in equity earnings in joint venture on our consolidated statements of net income.</w:t>
      </w:r>
    </w:p>
    <w:p>
      <w:pPr>
        <w:spacing w:after="0" w:line="218" w:lineRule="exact"/>
        <w:rPr>
          <w:sz w:val="20"/>
          <w:szCs w:val="20"/>
          <w:color w:val="auto"/>
        </w:rPr>
      </w:pPr>
    </w:p>
    <w:p>
      <w:pPr>
        <w:ind w:right="100"/>
        <w:spacing w:after="0" w:line="287" w:lineRule="auto"/>
        <w:rPr>
          <w:sz w:val="20"/>
          <w:szCs w:val="20"/>
          <w:color w:val="auto"/>
        </w:rPr>
      </w:pPr>
      <w:r>
        <w:rPr>
          <w:rFonts w:ascii="Arial" w:cs="Arial" w:eastAsia="Arial" w:hAnsi="Arial"/>
          <w:sz w:val="19"/>
          <w:szCs w:val="19"/>
          <w:color w:val="auto"/>
        </w:rPr>
        <w:t>Aqua Resources earns revenues by providing non-regulated water and wastewater services through operating and maintenance contracts, and third-party water and sewer service line repair. The performance obligations are performing agreed upon services in the contract, most commonly operation of third-party water or wastewater treatment services, or billing services, or allowing the use of our logo</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63500</wp:posOffset>
            </wp:positionV>
            <wp:extent cx="6114415" cy="514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114415" cy="51435"/>
                    </a:xfrm>
                    <a:prstGeom prst="rect">
                      <a:avLst/>
                    </a:prstGeom>
                    <a:noFill/>
                  </pic:spPr>
                </pic:pic>
              </a:graphicData>
            </a:graphic>
          </wp:anchor>
        </w:drawing>
      </w:r>
    </w:p>
    <w:p>
      <w:pPr>
        <w:sectPr>
          <w:pgSz w:w="11900" w:h="16838" w:orient="portrait"/>
          <w:cols w:equalWidth="0" w:num="1">
            <w:col w:w="9540"/>
          </w:cols>
          <w:pgMar w:left="1220" w:top="118" w:right="1139" w:bottom="1440" w:gutter="0" w:footer="0" w:header="0"/>
        </w:sectPr>
      </w:pPr>
    </w:p>
    <w:bookmarkStart w:id="13" w:name="page14"/>
    <w:bookmarkEnd w:id="13"/>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AQUA AMERICA, INC. AND SUBSIDIARIES NOTES TO CONSOLIDATED FINANCIAL STATEMENTS (continued) (In thousands of dollars, except per share amounts) (UNAUDITED)</w:t>
      </w:r>
    </w:p>
    <w:p>
      <w:pPr>
        <w:spacing w:after="0" w:line="200" w:lineRule="exact"/>
        <w:rPr>
          <w:sz w:val="20"/>
          <w:szCs w:val="20"/>
          <w:color w:val="auto"/>
        </w:rPr>
      </w:pPr>
    </w:p>
    <w:p>
      <w:pPr>
        <w:spacing w:after="0" w:line="239" w:lineRule="exact"/>
        <w:rPr>
          <w:sz w:val="20"/>
          <w:szCs w:val="20"/>
          <w:color w:val="auto"/>
        </w:rPr>
      </w:pPr>
    </w:p>
    <w:p>
      <w:pPr>
        <w:ind w:right="40"/>
        <w:spacing w:after="0" w:line="251" w:lineRule="auto"/>
        <w:rPr>
          <w:sz w:val="20"/>
          <w:szCs w:val="20"/>
          <w:color w:val="auto"/>
        </w:rPr>
      </w:pPr>
      <w:r>
        <w:rPr>
          <w:rFonts w:ascii="Arial" w:cs="Arial" w:eastAsia="Arial" w:hAnsi="Arial"/>
          <w:sz w:val="22"/>
          <w:szCs w:val="22"/>
          <w:color w:val="auto"/>
        </w:rPr>
        <w:t>to a third-party water and sewer service line repair. Revenues are primarily recognized over time as service is delivered.</w:t>
      </w:r>
    </w:p>
    <w:p>
      <w:pPr>
        <w:spacing w:after="0" w:line="19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Note 3 – </w:t>
      </w:r>
      <w:r>
        <w:rPr>
          <w:rFonts w:ascii="Arial" w:cs="Arial" w:eastAsia="Arial" w:hAnsi="Arial"/>
          <w:sz w:val="22"/>
          <w:szCs w:val="22"/>
          <w:b w:val="1"/>
          <w:bCs w:val="1"/>
          <w:i w:val="1"/>
          <w:iCs w:val="1"/>
          <w:color w:val="auto"/>
        </w:rPr>
        <w:t>Goodwill</w:t>
      </w: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color w:val="auto"/>
        </w:rPr>
        <w:t>The following table summarizes the changes in the Company’s goodwill, by business segment:</w:t>
      </w:r>
    </w:p>
    <w:p>
      <w:pPr>
        <w:spacing w:after="0" w:line="200" w:lineRule="exact"/>
        <w:rPr>
          <w:sz w:val="20"/>
          <w:szCs w:val="20"/>
          <w:color w:val="auto"/>
        </w:rPr>
      </w:pP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53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gridSpan w:val="2"/>
          </w:tcPr>
          <w:p>
            <w:pPr>
              <w:jc w:val="right"/>
              <w:ind w:right="380"/>
              <w:spacing w:after="0"/>
              <w:rPr>
                <w:sz w:val="20"/>
                <w:szCs w:val="20"/>
                <w:color w:val="auto"/>
              </w:rPr>
            </w:pPr>
            <w:r>
              <w:rPr>
                <w:rFonts w:ascii="Arial" w:cs="Arial" w:eastAsia="Arial" w:hAnsi="Arial"/>
                <w:sz w:val="22"/>
                <w:szCs w:val="22"/>
                <w:color w:val="auto"/>
                <w:w w:val="85"/>
              </w:rPr>
              <w:t>Regulated</w:t>
            </w:r>
          </w:p>
        </w:tc>
        <w:tc>
          <w:tcPr>
            <w:tcW w:w="2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spacing w:after="0"/>
              <w:rPr>
                <w:sz w:val="21"/>
                <w:szCs w:val="21"/>
                <w:color w:val="auto"/>
              </w:rPr>
            </w:pPr>
          </w:p>
        </w:tc>
      </w:tr>
      <w:tr>
        <w:trPr>
          <w:trHeight w:val="265"/>
        </w:trPr>
        <w:tc>
          <w:tcPr>
            <w:tcW w:w="53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60" w:type="dxa"/>
            <w:vAlign w:val="bottom"/>
            <w:gridSpan w:val="2"/>
          </w:tcPr>
          <w:p>
            <w:pPr>
              <w:jc w:val="right"/>
              <w:ind w:right="440"/>
              <w:spacing w:after="0"/>
              <w:rPr>
                <w:sz w:val="20"/>
                <w:szCs w:val="20"/>
                <w:color w:val="auto"/>
              </w:rPr>
            </w:pPr>
            <w:r>
              <w:rPr>
                <w:rFonts w:ascii="Arial" w:cs="Arial" w:eastAsia="Arial" w:hAnsi="Arial"/>
                <w:sz w:val="22"/>
                <w:szCs w:val="22"/>
                <w:color w:val="auto"/>
                <w:w w:val="90"/>
              </w:rPr>
              <w:t>Segment</w:t>
            </w:r>
          </w:p>
        </w:tc>
        <w:tc>
          <w:tcPr>
            <w:tcW w:w="280" w:type="dxa"/>
            <w:vAlign w:val="bottom"/>
          </w:tcPr>
          <w:p>
            <w:pPr>
              <w:spacing w:after="0"/>
              <w:rPr>
                <w:sz w:val="23"/>
                <w:szCs w:val="23"/>
                <w:color w:val="auto"/>
              </w:rPr>
            </w:pPr>
          </w:p>
        </w:tc>
        <w:tc>
          <w:tcPr>
            <w:tcW w:w="1180" w:type="dxa"/>
            <w:vAlign w:val="bottom"/>
            <w:gridSpan w:val="2"/>
          </w:tcPr>
          <w:p>
            <w:pPr>
              <w:ind w:left="120"/>
              <w:spacing w:after="0"/>
              <w:rPr>
                <w:sz w:val="20"/>
                <w:szCs w:val="20"/>
                <w:color w:val="auto"/>
              </w:rPr>
            </w:pPr>
            <w:r>
              <w:rPr>
                <w:rFonts w:ascii="Arial" w:cs="Arial" w:eastAsia="Arial" w:hAnsi="Arial"/>
                <w:sz w:val="22"/>
                <w:szCs w:val="22"/>
                <w:color w:val="auto"/>
              </w:rPr>
              <w:t>Other</w:t>
            </w:r>
          </w:p>
        </w:tc>
        <w:tc>
          <w:tcPr>
            <w:tcW w:w="1260" w:type="dxa"/>
            <w:vAlign w:val="bottom"/>
            <w:gridSpan w:val="2"/>
          </w:tcPr>
          <w:p>
            <w:pPr>
              <w:ind w:left="60"/>
              <w:spacing w:after="0"/>
              <w:rPr>
                <w:sz w:val="20"/>
                <w:szCs w:val="20"/>
                <w:color w:val="auto"/>
              </w:rPr>
            </w:pPr>
            <w:r>
              <w:rPr>
                <w:rFonts w:ascii="Arial" w:cs="Arial" w:eastAsia="Arial" w:hAnsi="Arial"/>
                <w:sz w:val="22"/>
                <w:szCs w:val="22"/>
                <w:color w:val="auto"/>
                <w:w w:val="91"/>
              </w:rPr>
              <w:t>Consolidated</w:t>
            </w:r>
          </w:p>
        </w:tc>
      </w:tr>
      <w:tr>
        <w:trPr>
          <w:trHeight w:val="237"/>
        </w:trPr>
        <w:tc>
          <w:tcPr>
            <w:tcW w:w="5360" w:type="dxa"/>
            <w:vAlign w:val="bottom"/>
            <w:tcBorders>
              <w:top w:val="single" w:sz="8" w:color="CCEEFF"/>
            </w:tcBorders>
            <w:shd w:val="clear" w:color="auto" w:fill="CCEEFF"/>
          </w:tcPr>
          <w:p>
            <w:pPr>
              <w:spacing w:after="0" w:line="237" w:lineRule="exact"/>
              <w:rPr>
                <w:sz w:val="20"/>
                <w:szCs w:val="20"/>
                <w:color w:val="auto"/>
              </w:rPr>
            </w:pPr>
            <w:r>
              <w:rPr>
                <w:rFonts w:ascii="Arial" w:cs="Arial" w:eastAsia="Arial" w:hAnsi="Arial"/>
                <w:sz w:val="22"/>
                <w:szCs w:val="22"/>
                <w:color w:val="auto"/>
              </w:rPr>
              <w:t>Balance at December 31, 2017</w:t>
            </w:r>
          </w:p>
        </w:tc>
        <w:tc>
          <w:tcPr>
            <w:tcW w:w="200" w:type="dxa"/>
            <w:vAlign w:val="bottom"/>
            <w:tcBorders>
              <w:top w:val="single" w:sz="8" w:color="auto"/>
            </w:tcBorders>
            <w:shd w:val="clear" w:color="auto" w:fill="CCEEFF"/>
          </w:tcPr>
          <w:p>
            <w:pPr>
              <w:jc w:val="right"/>
              <w:spacing w:after="0" w:line="237" w:lineRule="exact"/>
              <w:rPr>
                <w:sz w:val="20"/>
                <w:szCs w:val="20"/>
                <w:color w:val="auto"/>
              </w:rPr>
            </w:pPr>
            <w:r>
              <w:rPr>
                <w:rFonts w:ascii="Arial" w:cs="Arial" w:eastAsia="Arial" w:hAnsi="Arial"/>
                <w:sz w:val="22"/>
                <w:szCs w:val="22"/>
                <w:color w:val="auto"/>
              </w:rPr>
              <w:t>$</w:t>
            </w:r>
          </w:p>
        </w:tc>
        <w:tc>
          <w:tcPr>
            <w:tcW w:w="1080" w:type="dxa"/>
            <w:vAlign w:val="bottom"/>
            <w:tcBorders>
              <w:top w:val="single" w:sz="8" w:color="auto"/>
            </w:tcBorders>
            <w:shd w:val="clear" w:color="auto" w:fill="CCEEFF"/>
          </w:tcPr>
          <w:p>
            <w:pPr>
              <w:jc w:val="right"/>
              <w:spacing w:after="0" w:line="237" w:lineRule="exact"/>
              <w:rPr>
                <w:sz w:val="20"/>
                <w:szCs w:val="20"/>
                <w:color w:val="auto"/>
              </w:rPr>
            </w:pPr>
            <w:r>
              <w:rPr>
                <w:rFonts w:ascii="Arial" w:cs="Arial" w:eastAsia="Arial" w:hAnsi="Arial"/>
                <w:sz w:val="22"/>
                <w:szCs w:val="22"/>
                <w:color w:val="auto"/>
              </w:rPr>
              <w:t>37,389</w:t>
            </w:r>
          </w:p>
        </w:tc>
        <w:tc>
          <w:tcPr>
            <w:tcW w:w="180" w:type="dxa"/>
            <w:vAlign w:val="bottom"/>
            <w:tcBorders>
              <w:top w:val="single" w:sz="8" w:color="CCEEFF"/>
            </w:tcBorders>
            <w:shd w:val="clear" w:color="auto" w:fill="CCEEFF"/>
          </w:tcPr>
          <w:p>
            <w:pPr>
              <w:spacing w:after="0"/>
              <w:rPr>
                <w:sz w:val="20"/>
                <w:szCs w:val="20"/>
                <w:color w:val="auto"/>
              </w:rPr>
            </w:pPr>
          </w:p>
        </w:tc>
        <w:tc>
          <w:tcPr>
            <w:tcW w:w="280" w:type="dxa"/>
            <w:vAlign w:val="bottom"/>
            <w:tcBorders>
              <w:top w:val="single" w:sz="8" w:color="auto"/>
            </w:tcBorders>
            <w:shd w:val="clear" w:color="auto" w:fill="CCEEFF"/>
          </w:tcPr>
          <w:p>
            <w:pPr>
              <w:jc w:val="right"/>
              <w:spacing w:after="0" w:line="237" w:lineRule="exact"/>
              <w:rPr>
                <w:sz w:val="20"/>
                <w:szCs w:val="20"/>
                <w:color w:val="auto"/>
              </w:rPr>
            </w:pPr>
            <w:r>
              <w:rPr>
                <w:rFonts w:ascii="Arial" w:cs="Arial" w:eastAsia="Arial" w:hAnsi="Arial"/>
                <w:sz w:val="22"/>
                <w:szCs w:val="22"/>
                <w:color w:val="auto"/>
              </w:rPr>
              <w:t>$</w:t>
            </w:r>
          </w:p>
        </w:tc>
        <w:tc>
          <w:tcPr>
            <w:tcW w:w="1000" w:type="dxa"/>
            <w:vAlign w:val="bottom"/>
            <w:tcBorders>
              <w:top w:val="single" w:sz="8" w:color="auto"/>
            </w:tcBorders>
            <w:shd w:val="clear" w:color="auto" w:fill="CCEEFF"/>
          </w:tcPr>
          <w:p>
            <w:pPr>
              <w:jc w:val="right"/>
              <w:spacing w:after="0" w:line="237" w:lineRule="exact"/>
              <w:rPr>
                <w:sz w:val="20"/>
                <w:szCs w:val="20"/>
                <w:color w:val="auto"/>
              </w:rPr>
            </w:pPr>
            <w:r>
              <w:rPr>
                <w:rFonts w:ascii="Arial" w:cs="Arial" w:eastAsia="Arial" w:hAnsi="Arial"/>
                <w:sz w:val="22"/>
                <w:szCs w:val="22"/>
                <w:color w:val="auto"/>
              </w:rPr>
              <w:t>4,841</w:t>
            </w:r>
          </w:p>
        </w:tc>
        <w:tc>
          <w:tcPr>
            <w:tcW w:w="180" w:type="dxa"/>
            <w:vAlign w:val="bottom"/>
            <w:tcBorders>
              <w:top w:val="single" w:sz="8" w:color="CCEEFF"/>
            </w:tcBorders>
            <w:shd w:val="clear" w:color="auto" w:fill="CCEEFF"/>
          </w:tcPr>
          <w:p>
            <w:pPr>
              <w:spacing w:after="0"/>
              <w:rPr>
                <w:sz w:val="20"/>
                <w:szCs w:val="20"/>
                <w:color w:val="auto"/>
              </w:rPr>
            </w:pPr>
          </w:p>
        </w:tc>
        <w:tc>
          <w:tcPr>
            <w:tcW w:w="400" w:type="dxa"/>
            <w:vAlign w:val="bottom"/>
            <w:tcBorders>
              <w:top w:val="single" w:sz="8" w:color="auto"/>
            </w:tcBorders>
            <w:shd w:val="clear" w:color="auto" w:fill="CCEEFF"/>
          </w:tcPr>
          <w:p>
            <w:pPr>
              <w:ind w:left="60"/>
              <w:spacing w:after="0" w:line="237" w:lineRule="exact"/>
              <w:rPr>
                <w:sz w:val="20"/>
                <w:szCs w:val="20"/>
                <w:color w:val="auto"/>
              </w:rPr>
            </w:pPr>
            <w:r>
              <w:rPr>
                <w:rFonts w:ascii="Arial" w:cs="Arial" w:eastAsia="Arial" w:hAnsi="Arial"/>
                <w:sz w:val="22"/>
                <w:szCs w:val="22"/>
                <w:color w:val="auto"/>
              </w:rPr>
              <w:t>$</w:t>
            </w:r>
          </w:p>
        </w:tc>
        <w:tc>
          <w:tcPr>
            <w:tcW w:w="860" w:type="dxa"/>
            <w:vAlign w:val="bottom"/>
            <w:tcBorders>
              <w:top w:val="single" w:sz="8" w:color="auto"/>
            </w:tcBorders>
            <w:shd w:val="clear" w:color="auto" w:fill="CCEEFF"/>
          </w:tcPr>
          <w:p>
            <w:pPr>
              <w:jc w:val="right"/>
              <w:spacing w:after="0" w:line="237" w:lineRule="exact"/>
              <w:rPr>
                <w:sz w:val="20"/>
                <w:szCs w:val="20"/>
                <w:color w:val="auto"/>
              </w:rPr>
            </w:pPr>
            <w:r>
              <w:rPr>
                <w:rFonts w:ascii="Arial" w:cs="Arial" w:eastAsia="Arial" w:hAnsi="Arial"/>
                <w:sz w:val="22"/>
                <w:szCs w:val="22"/>
                <w:color w:val="auto"/>
              </w:rPr>
              <w:t>42,230</w:t>
            </w:r>
          </w:p>
        </w:tc>
      </w:tr>
      <w:tr>
        <w:trPr>
          <w:trHeight w:val="243"/>
        </w:trPr>
        <w:tc>
          <w:tcPr>
            <w:tcW w:w="5360" w:type="dxa"/>
            <w:vAlign w:val="bottom"/>
          </w:tcPr>
          <w:p>
            <w:pPr>
              <w:ind w:left="100"/>
              <w:spacing w:after="0" w:line="243" w:lineRule="exact"/>
              <w:rPr>
                <w:sz w:val="20"/>
                <w:szCs w:val="20"/>
                <w:color w:val="auto"/>
              </w:rPr>
            </w:pPr>
            <w:r>
              <w:rPr>
                <w:rFonts w:ascii="Arial" w:cs="Arial" w:eastAsia="Arial" w:hAnsi="Arial"/>
                <w:sz w:val="22"/>
                <w:szCs w:val="22"/>
                <w:color w:val="auto"/>
              </w:rPr>
              <w:t>Goodwill acquired</w:t>
            </w:r>
          </w:p>
        </w:tc>
        <w:tc>
          <w:tcPr>
            <w:tcW w:w="200" w:type="dxa"/>
            <w:vAlign w:val="bottom"/>
          </w:tcPr>
          <w:p>
            <w:pPr>
              <w:spacing w:after="0"/>
              <w:rPr>
                <w:sz w:val="21"/>
                <w:szCs w:val="21"/>
                <w:color w:val="auto"/>
              </w:rPr>
            </w:pPr>
          </w:p>
        </w:tc>
        <w:tc>
          <w:tcPr>
            <w:tcW w:w="1080" w:type="dxa"/>
            <w:vAlign w:val="bottom"/>
          </w:tcPr>
          <w:p>
            <w:pPr>
              <w:jc w:val="right"/>
              <w:spacing w:after="0" w:line="243" w:lineRule="exact"/>
              <w:rPr>
                <w:sz w:val="20"/>
                <w:szCs w:val="20"/>
                <w:color w:val="auto"/>
              </w:rPr>
            </w:pPr>
            <w:r>
              <w:rPr>
                <w:rFonts w:ascii="Arial" w:cs="Arial" w:eastAsia="Arial" w:hAnsi="Arial"/>
                <w:sz w:val="22"/>
                <w:szCs w:val="22"/>
                <w:color w:val="auto"/>
              </w:rPr>
              <w:t>11,297</w:t>
            </w:r>
          </w:p>
        </w:tc>
        <w:tc>
          <w:tcPr>
            <w:tcW w:w="1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0" w:type="dxa"/>
            <w:vAlign w:val="bottom"/>
          </w:tcPr>
          <w:p>
            <w:pPr>
              <w:jc w:val="right"/>
              <w:spacing w:after="0" w:line="243" w:lineRule="exact"/>
              <w:rPr>
                <w:sz w:val="20"/>
                <w:szCs w:val="20"/>
                <w:color w:val="auto"/>
              </w:rPr>
            </w:pPr>
            <w:r>
              <w:rPr>
                <w:rFonts w:ascii="Arial" w:cs="Arial" w:eastAsia="Arial" w:hAnsi="Arial"/>
                <w:sz w:val="22"/>
                <w:szCs w:val="22"/>
                <w:color w:val="auto"/>
              </w:rPr>
              <w:t>-</w:t>
            </w:r>
          </w:p>
        </w:tc>
        <w:tc>
          <w:tcPr>
            <w:tcW w:w="1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jc w:val="right"/>
              <w:spacing w:after="0" w:line="243" w:lineRule="exact"/>
              <w:rPr>
                <w:sz w:val="20"/>
                <w:szCs w:val="20"/>
                <w:color w:val="auto"/>
              </w:rPr>
            </w:pPr>
            <w:r>
              <w:rPr>
                <w:rFonts w:ascii="Arial" w:cs="Arial" w:eastAsia="Arial" w:hAnsi="Arial"/>
                <w:sz w:val="22"/>
                <w:szCs w:val="22"/>
                <w:color w:val="auto"/>
              </w:rPr>
              <w:t>11,297</w:t>
            </w:r>
          </w:p>
        </w:tc>
      </w:tr>
      <w:tr>
        <w:trPr>
          <w:trHeight w:val="243"/>
        </w:trPr>
        <w:tc>
          <w:tcPr>
            <w:tcW w:w="5360" w:type="dxa"/>
            <w:vAlign w:val="bottom"/>
            <w:shd w:val="clear" w:color="auto" w:fill="CCEEFF"/>
          </w:tcPr>
          <w:p>
            <w:pPr>
              <w:ind w:left="100"/>
              <w:spacing w:after="0" w:line="243" w:lineRule="exact"/>
              <w:rPr>
                <w:sz w:val="20"/>
                <w:szCs w:val="20"/>
                <w:color w:val="auto"/>
              </w:rPr>
            </w:pPr>
            <w:r>
              <w:rPr>
                <w:rFonts w:ascii="Arial" w:cs="Arial" w:eastAsia="Arial" w:hAnsi="Arial"/>
                <w:sz w:val="22"/>
                <w:szCs w:val="22"/>
                <w:color w:val="auto"/>
              </w:rPr>
              <w:t>Reclassification to utility plant acquisition adjustment</w:t>
            </w:r>
          </w:p>
        </w:tc>
        <w:tc>
          <w:tcPr>
            <w:tcW w:w="200" w:type="dxa"/>
            <w:vAlign w:val="bottom"/>
            <w:shd w:val="clear" w:color="auto" w:fill="CCEEFF"/>
          </w:tcPr>
          <w:p>
            <w:pPr>
              <w:spacing w:after="0"/>
              <w:rPr>
                <w:sz w:val="21"/>
                <w:szCs w:val="21"/>
                <w:color w:val="auto"/>
              </w:rPr>
            </w:pPr>
          </w:p>
        </w:tc>
        <w:tc>
          <w:tcPr>
            <w:tcW w:w="1260" w:type="dxa"/>
            <w:vAlign w:val="bottom"/>
            <w:gridSpan w:val="2"/>
            <w:shd w:val="clear" w:color="auto" w:fill="CCEEFF"/>
          </w:tcPr>
          <w:p>
            <w:pPr>
              <w:jc w:val="right"/>
              <w:ind w:right="180"/>
              <w:spacing w:after="0" w:line="243" w:lineRule="exact"/>
              <w:rPr>
                <w:sz w:val="20"/>
                <w:szCs w:val="20"/>
                <w:color w:val="auto"/>
              </w:rPr>
            </w:pPr>
            <w:r>
              <w:rPr>
                <w:rFonts w:ascii="Arial" w:cs="Arial" w:eastAsia="Arial" w:hAnsi="Arial"/>
                <w:sz w:val="22"/>
                <w:szCs w:val="22"/>
                <w:color w:val="auto"/>
              </w:rPr>
              <w:t>(130)</w:t>
            </w:r>
          </w:p>
        </w:tc>
        <w:tc>
          <w:tcPr>
            <w:tcW w:w="28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line="243" w:lineRule="exact"/>
              <w:rPr>
                <w:sz w:val="20"/>
                <w:szCs w:val="20"/>
                <w:color w:val="auto"/>
              </w:rPr>
            </w:pPr>
            <w:r>
              <w:rPr>
                <w:rFonts w:ascii="Arial" w:cs="Arial" w:eastAsia="Arial" w:hAnsi="Arial"/>
                <w:sz w:val="22"/>
                <w:szCs w:val="22"/>
                <w:color w:val="auto"/>
              </w:rPr>
              <w:t>-</w:t>
            </w:r>
          </w:p>
        </w:tc>
        <w:tc>
          <w:tcPr>
            <w:tcW w:w="18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line="243" w:lineRule="exact"/>
              <w:rPr>
                <w:sz w:val="20"/>
                <w:szCs w:val="20"/>
                <w:color w:val="auto"/>
              </w:rPr>
            </w:pPr>
            <w:r>
              <w:rPr>
                <w:rFonts w:ascii="Arial" w:cs="Arial" w:eastAsia="Arial" w:hAnsi="Arial"/>
                <w:sz w:val="22"/>
                <w:szCs w:val="22"/>
                <w:color w:val="auto"/>
              </w:rPr>
              <w:t>(130)</w:t>
            </w:r>
          </w:p>
        </w:tc>
      </w:tr>
      <w:tr>
        <w:trPr>
          <w:trHeight w:val="243"/>
        </w:trPr>
        <w:tc>
          <w:tcPr>
            <w:tcW w:w="5360" w:type="dxa"/>
            <w:vAlign w:val="bottom"/>
          </w:tcPr>
          <w:p>
            <w:pPr>
              <w:ind w:left="100"/>
              <w:spacing w:after="0" w:line="243" w:lineRule="exact"/>
              <w:rPr>
                <w:sz w:val="20"/>
                <w:szCs w:val="20"/>
                <w:color w:val="auto"/>
              </w:rPr>
            </w:pPr>
            <w:r>
              <w:rPr>
                <w:rFonts w:ascii="Arial" w:cs="Arial" w:eastAsia="Arial" w:hAnsi="Arial"/>
                <w:sz w:val="22"/>
                <w:szCs w:val="22"/>
                <w:color w:val="auto"/>
              </w:rPr>
              <w:t>Other</w:t>
            </w:r>
          </w:p>
        </w:tc>
        <w:tc>
          <w:tcPr>
            <w:tcW w:w="200" w:type="dxa"/>
            <w:vAlign w:val="bottom"/>
          </w:tcPr>
          <w:p>
            <w:pPr>
              <w:spacing w:after="0"/>
              <w:rPr>
                <w:sz w:val="21"/>
                <w:szCs w:val="21"/>
                <w:color w:val="auto"/>
              </w:rPr>
            </w:pPr>
          </w:p>
        </w:tc>
        <w:tc>
          <w:tcPr>
            <w:tcW w:w="1260" w:type="dxa"/>
            <w:vAlign w:val="bottom"/>
            <w:gridSpan w:val="2"/>
          </w:tcPr>
          <w:p>
            <w:pPr>
              <w:jc w:val="right"/>
              <w:ind w:right="180"/>
              <w:spacing w:after="0" w:line="243" w:lineRule="exact"/>
              <w:rPr>
                <w:sz w:val="20"/>
                <w:szCs w:val="20"/>
                <w:color w:val="auto"/>
              </w:rPr>
            </w:pPr>
            <w:r>
              <w:rPr>
                <w:rFonts w:ascii="Arial" w:cs="Arial" w:eastAsia="Arial" w:hAnsi="Arial"/>
                <w:sz w:val="22"/>
                <w:szCs w:val="22"/>
                <w:color w:val="auto"/>
              </w:rPr>
              <w:t>(155)</w:t>
            </w:r>
          </w:p>
        </w:tc>
        <w:tc>
          <w:tcPr>
            <w:tcW w:w="280" w:type="dxa"/>
            <w:vAlign w:val="bottom"/>
          </w:tcPr>
          <w:p>
            <w:pPr>
              <w:spacing w:after="0"/>
              <w:rPr>
                <w:sz w:val="21"/>
                <w:szCs w:val="21"/>
                <w:color w:val="auto"/>
              </w:rPr>
            </w:pPr>
          </w:p>
        </w:tc>
        <w:tc>
          <w:tcPr>
            <w:tcW w:w="1000" w:type="dxa"/>
            <w:vAlign w:val="bottom"/>
          </w:tcPr>
          <w:p>
            <w:pPr>
              <w:jc w:val="right"/>
              <w:spacing w:after="0" w:line="243" w:lineRule="exact"/>
              <w:rPr>
                <w:sz w:val="20"/>
                <w:szCs w:val="20"/>
                <w:color w:val="auto"/>
              </w:rPr>
            </w:pPr>
            <w:r>
              <w:rPr>
                <w:rFonts w:ascii="Arial" w:cs="Arial" w:eastAsia="Arial" w:hAnsi="Arial"/>
                <w:sz w:val="22"/>
                <w:szCs w:val="22"/>
                <w:color w:val="auto"/>
              </w:rPr>
              <w:t>-</w:t>
            </w:r>
          </w:p>
        </w:tc>
        <w:tc>
          <w:tcPr>
            <w:tcW w:w="1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jc w:val="right"/>
              <w:spacing w:after="0" w:line="243" w:lineRule="exact"/>
              <w:rPr>
                <w:sz w:val="20"/>
                <w:szCs w:val="20"/>
                <w:color w:val="auto"/>
              </w:rPr>
            </w:pPr>
            <w:r>
              <w:rPr>
                <w:rFonts w:ascii="Arial" w:cs="Arial" w:eastAsia="Arial" w:hAnsi="Arial"/>
                <w:sz w:val="22"/>
                <w:szCs w:val="22"/>
                <w:color w:val="auto"/>
              </w:rPr>
              <w:t>(155)</w:t>
            </w:r>
          </w:p>
        </w:tc>
      </w:tr>
      <w:tr>
        <w:trPr>
          <w:trHeight w:val="244"/>
        </w:trPr>
        <w:tc>
          <w:tcPr>
            <w:tcW w:w="5360" w:type="dxa"/>
            <w:vAlign w:val="bottom"/>
            <w:tcBorders>
              <w:top w:val="single" w:sz="8" w:color="CCEEFF"/>
              <w:bottom w:val="single" w:sz="8" w:color="CCEEFF"/>
            </w:tcBorders>
            <w:shd w:val="clear" w:color="auto" w:fill="CCEEFF"/>
          </w:tcPr>
          <w:p>
            <w:pPr>
              <w:spacing w:after="0" w:line="237" w:lineRule="exact"/>
              <w:rPr>
                <w:sz w:val="20"/>
                <w:szCs w:val="20"/>
                <w:color w:val="auto"/>
              </w:rPr>
            </w:pPr>
            <w:r>
              <w:rPr>
                <w:rFonts w:ascii="Arial" w:cs="Arial" w:eastAsia="Arial" w:hAnsi="Arial"/>
                <w:sz w:val="22"/>
                <w:szCs w:val="22"/>
                <w:color w:val="auto"/>
              </w:rPr>
              <w:t>Balance at September 30, 2018</w:t>
            </w:r>
          </w:p>
        </w:tc>
        <w:tc>
          <w:tcPr>
            <w:tcW w:w="200" w:type="dxa"/>
            <w:vAlign w:val="bottom"/>
            <w:tcBorders>
              <w:top w:val="single" w:sz="8" w:color="auto"/>
              <w:bottom w:val="single" w:sz="8" w:color="auto"/>
            </w:tcBorders>
            <w:shd w:val="clear" w:color="auto" w:fill="CCEEFF"/>
          </w:tcPr>
          <w:p>
            <w:pPr>
              <w:jc w:val="right"/>
              <w:spacing w:after="0" w:line="237" w:lineRule="exact"/>
              <w:rPr>
                <w:sz w:val="20"/>
                <w:szCs w:val="20"/>
                <w:color w:val="auto"/>
              </w:rPr>
            </w:pPr>
            <w:r>
              <w:rPr>
                <w:rFonts w:ascii="Arial" w:cs="Arial" w:eastAsia="Arial" w:hAnsi="Arial"/>
                <w:sz w:val="22"/>
                <w:szCs w:val="22"/>
                <w:color w:val="auto"/>
              </w:rPr>
              <w:t>$</w:t>
            </w:r>
          </w:p>
        </w:tc>
        <w:tc>
          <w:tcPr>
            <w:tcW w:w="1080" w:type="dxa"/>
            <w:vAlign w:val="bottom"/>
            <w:tcBorders>
              <w:top w:val="single" w:sz="8" w:color="auto"/>
              <w:bottom w:val="single" w:sz="8" w:color="auto"/>
            </w:tcBorders>
            <w:shd w:val="clear" w:color="auto" w:fill="CCEEFF"/>
          </w:tcPr>
          <w:p>
            <w:pPr>
              <w:jc w:val="right"/>
              <w:spacing w:after="0" w:line="237" w:lineRule="exact"/>
              <w:rPr>
                <w:sz w:val="20"/>
                <w:szCs w:val="20"/>
                <w:color w:val="auto"/>
              </w:rPr>
            </w:pPr>
            <w:r>
              <w:rPr>
                <w:rFonts w:ascii="Arial" w:cs="Arial" w:eastAsia="Arial" w:hAnsi="Arial"/>
                <w:sz w:val="22"/>
                <w:szCs w:val="22"/>
                <w:color w:val="auto"/>
              </w:rPr>
              <w:t>48,401</w:t>
            </w:r>
          </w:p>
        </w:tc>
        <w:tc>
          <w:tcPr>
            <w:tcW w:w="18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spacing w:after="0" w:line="237" w:lineRule="exact"/>
              <w:rPr>
                <w:sz w:val="20"/>
                <w:szCs w:val="20"/>
                <w:color w:val="auto"/>
              </w:rPr>
            </w:pPr>
            <w:r>
              <w:rPr>
                <w:rFonts w:ascii="Arial" w:cs="Arial" w:eastAsia="Arial" w:hAnsi="Arial"/>
                <w:sz w:val="22"/>
                <w:szCs w:val="22"/>
                <w:color w:val="auto"/>
              </w:rPr>
              <w:t>$</w:t>
            </w:r>
          </w:p>
        </w:tc>
        <w:tc>
          <w:tcPr>
            <w:tcW w:w="1000" w:type="dxa"/>
            <w:vAlign w:val="bottom"/>
            <w:tcBorders>
              <w:top w:val="single" w:sz="8" w:color="auto"/>
              <w:bottom w:val="single" w:sz="8" w:color="auto"/>
            </w:tcBorders>
            <w:shd w:val="clear" w:color="auto" w:fill="CCEEFF"/>
          </w:tcPr>
          <w:p>
            <w:pPr>
              <w:jc w:val="right"/>
              <w:spacing w:after="0" w:line="237" w:lineRule="exact"/>
              <w:rPr>
                <w:sz w:val="20"/>
                <w:szCs w:val="20"/>
                <w:color w:val="auto"/>
              </w:rPr>
            </w:pPr>
            <w:r>
              <w:rPr>
                <w:rFonts w:ascii="Arial" w:cs="Arial" w:eastAsia="Arial" w:hAnsi="Arial"/>
                <w:sz w:val="22"/>
                <w:szCs w:val="22"/>
                <w:color w:val="auto"/>
              </w:rPr>
              <w:t>4,841</w:t>
            </w:r>
          </w:p>
        </w:tc>
        <w:tc>
          <w:tcPr>
            <w:tcW w:w="180" w:type="dxa"/>
            <w:vAlign w:val="bottom"/>
            <w:tcBorders>
              <w:top w:val="single" w:sz="8" w:color="CCEEFF"/>
              <w:bottom w:val="single" w:sz="8" w:color="CCEEFF"/>
            </w:tcBorders>
            <w:shd w:val="clear" w:color="auto" w:fill="CCEEFF"/>
          </w:tcPr>
          <w:p>
            <w:pPr>
              <w:spacing w:after="0"/>
              <w:rPr>
                <w:sz w:val="21"/>
                <w:szCs w:val="21"/>
                <w:color w:val="auto"/>
              </w:rPr>
            </w:pPr>
          </w:p>
        </w:tc>
        <w:tc>
          <w:tcPr>
            <w:tcW w:w="400" w:type="dxa"/>
            <w:vAlign w:val="bottom"/>
            <w:tcBorders>
              <w:top w:val="single" w:sz="8" w:color="auto"/>
              <w:bottom w:val="single" w:sz="8" w:color="auto"/>
            </w:tcBorders>
            <w:shd w:val="clear" w:color="auto" w:fill="CCEEFF"/>
          </w:tcPr>
          <w:p>
            <w:pPr>
              <w:ind w:left="60"/>
              <w:spacing w:after="0" w:line="237" w:lineRule="exact"/>
              <w:rPr>
                <w:sz w:val="20"/>
                <w:szCs w:val="20"/>
                <w:color w:val="auto"/>
              </w:rPr>
            </w:pPr>
            <w:r>
              <w:rPr>
                <w:rFonts w:ascii="Arial" w:cs="Arial" w:eastAsia="Arial" w:hAnsi="Arial"/>
                <w:sz w:val="22"/>
                <w:szCs w:val="22"/>
                <w:color w:val="auto"/>
              </w:rPr>
              <w:t>$</w:t>
            </w:r>
          </w:p>
        </w:tc>
        <w:tc>
          <w:tcPr>
            <w:tcW w:w="860" w:type="dxa"/>
            <w:vAlign w:val="bottom"/>
            <w:tcBorders>
              <w:top w:val="single" w:sz="8" w:color="auto"/>
              <w:bottom w:val="single" w:sz="8" w:color="auto"/>
            </w:tcBorders>
            <w:shd w:val="clear" w:color="auto" w:fill="CCEEFF"/>
          </w:tcPr>
          <w:p>
            <w:pPr>
              <w:jc w:val="right"/>
              <w:spacing w:after="0" w:line="237" w:lineRule="exact"/>
              <w:rPr>
                <w:sz w:val="20"/>
                <w:szCs w:val="20"/>
                <w:color w:val="auto"/>
              </w:rPr>
            </w:pPr>
            <w:r>
              <w:rPr>
                <w:rFonts w:ascii="Arial" w:cs="Arial" w:eastAsia="Arial" w:hAnsi="Arial"/>
                <w:sz w:val="22"/>
                <w:szCs w:val="22"/>
                <w:color w:val="auto"/>
              </w:rPr>
              <w:t>53,242</w:t>
            </w:r>
          </w:p>
        </w:tc>
      </w:tr>
    </w:tbl>
    <w:p>
      <w:pPr>
        <w:spacing w:after="0" w:line="222" w:lineRule="exact"/>
        <w:rPr>
          <w:sz w:val="20"/>
          <w:szCs w:val="20"/>
          <w:color w:val="auto"/>
        </w:rPr>
      </w:pPr>
    </w:p>
    <w:p>
      <w:pPr>
        <w:ind w:right="100"/>
        <w:spacing w:after="0" w:line="297" w:lineRule="auto"/>
        <w:rPr>
          <w:sz w:val="20"/>
          <w:szCs w:val="20"/>
          <w:color w:val="auto"/>
        </w:rPr>
      </w:pPr>
      <w:r>
        <w:rPr>
          <w:rFonts w:ascii="Arial" w:cs="Arial" w:eastAsia="Arial" w:hAnsi="Arial"/>
          <w:sz w:val="19"/>
          <w:szCs w:val="19"/>
          <w:color w:val="auto"/>
        </w:rPr>
        <w:t>The reclassification of goodwill to utility plant acquisition adjustment results from a mechanism approved by the applicable utility commission. The mechanism provides for the transfer over time, and the recovery through customer rates, of goodwill associated with some acquisitions upon achieving specific objectives.</w:t>
      </w:r>
    </w:p>
    <w:p>
      <w:pPr>
        <w:spacing w:after="0" w:line="161" w:lineRule="exact"/>
        <w:rPr>
          <w:sz w:val="20"/>
          <w:szCs w:val="20"/>
          <w:color w:val="auto"/>
        </w:rPr>
      </w:pPr>
    </w:p>
    <w:p>
      <w:pPr>
        <w:spacing w:after="0" w:line="271" w:lineRule="auto"/>
        <w:rPr>
          <w:sz w:val="20"/>
          <w:szCs w:val="20"/>
          <w:color w:val="auto"/>
        </w:rPr>
      </w:pPr>
      <w:r>
        <w:rPr>
          <w:rFonts w:ascii="Arial" w:cs="Arial" w:eastAsia="Arial" w:hAnsi="Arial"/>
          <w:sz w:val="19"/>
          <w:szCs w:val="19"/>
          <w:color w:val="auto"/>
        </w:rPr>
        <w:t>Goodwill is not amortized but is tested for impairment annually, or more often, if circumstances indicate it is more likely than not that the fair value of a reporting unit is less than its carrying amount. When testing goodwill for impairment, the Company may assess qualitative factors, including macroeconomic conditions, industry and market considerations, cost factors, overall financial performance, and entity specific events, for some or all of our reporting units to determine whether it’s more likely than not that the fair value of a reporting unit is less than its carrying amount. Alternatively, based on our assessment of the qualitative factors previously noted, we may perform a quantitative goodwill impairment test by determining the fair value of a reporting unit based on a discounted cash flow analysis. If we perform a quantitative test and determine that the fair value of a reporting unit is less than its carrying amount, we would record an impairment loss for the amount by which a reporting unit’s carrying amount exceeds its fair value, not to exceed the carrying amount of goodwill. The Company performed a qualitative assessment for its annual test of the goodwill attributable for each of its reporting units for impairment as of July 31, 2018, and concluded that the estimated fair value of each reporting unit, which has goodwill recorded, exceeded the reporting unit’s carrying amount, indicating that none of the Company’s goodwill was impaired.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63500</wp:posOffset>
            </wp:positionV>
            <wp:extent cx="6114415" cy="514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114415" cy="51435"/>
                    </a:xfrm>
                    <a:prstGeom prst="rect">
                      <a:avLst/>
                    </a:prstGeom>
                    <a:noFill/>
                  </pic:spPr>
                </pic:pic>
              </a:graphicData>
            </a:graphic>
          </wp:anchor>
        </w:drawing>
      </w:r>
    </w:p>
    <w:p>
      <w:pPr>
        <w:sectPr>
          <w:pgSz w:w="11900" w:h="16838" w:orient="portrait"/>
          <w:cols w:equalWidth="0" w:num="1">
            <w:col w:w="9540"/>
          </w:cols>
          <w:pgMar w:left="1220" w:top="118" w:right="1139" w:bottom="1440" w:gutter="0" w:footer="0" w:header="0"/>
        </w:sectPr>
      </w:pPr>
    </w:p>
    <w:bookmarkStart w:id="14" w:name="page15"/>
    <w:bookmarkEnd w:id="14"/>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AQUA AMERICA, INC. AND SUBSIDIARIES NOTES TO CONSOLIDATED FINANCIAL STATEMENTS (continued) (In thousands of dollars, except per share amounts) (UNAUDITED)</w:t>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Note 4 – </w:t>
      </w:r>
      <w:r>
        <w:rPr>
          <w:rFonts w:ascii="Arial" w:cs="Arial" w:eastAsia="Arial" w:hAnsi="Arial"/>
          <w:sz w:val="22"/>
          <w:szCs w:val="22"/>
          <w:b w:val="1"/>
          <w:bCs w:val="1"/>
          <w:i w:val="1"/>
          <w:iCs w:val="1"/>
          <w:color w:val="auto"/>
        </w:rPr>
        <w:t>Acquisitions</w:t>
      </w:r>
    </w:p>
    <w:p>
      <w:pPr>
        <w:spacing w:after="0" w:line="239" w:lineRule="exact"/>
        <w:rPr>
          <w:sz w:val="20"/>
          <w:szCs w:val="20"/>
          <w:color w:val="auto"/>
        </w:rPr>
      </w:pPr>
    </w:p>
    <w:p>
      <w:pPr>
        <w:ind w:right="40"/>
        <w:spacing w:after="0" w:line="269" w:lineRule="auto"/>
        <w:rPr>
          <w:sz w:val="20"/>
          <w:szCs w:val="20"/>
          <w:color w:val="auto"/>
        </w:rPr>
      </w:pPr>
      <w:r>
        <w:rPr>
          <w:rFonts w:ascii="Arial" w:cs="Arial" w:eastAsia="Arial" w:hAnsi="Arial"/>
          <w:sz w:val="19"/>
          <w:szCs w:val="19"/>
          <w:color w:val="auto"/>
        </w:rPr>
        <w:t>Subsequent to the quarterly period ended September 30, 2018, pursuant to the Company’s growth strategy, on October 22, 2018, the Company entered into a purchase agreement with LDC Parent LLC (“Seller”), to acquire its interests in LDC Funding LLC (“LDC”). LDC is the parent of LDC Holdings LLC (“LDC Holdings”), and LDC Holdings is the parent of five natural gas public utility companies, which includes Peoples Natural Gas Company, Peoples Gas Company, and Delta Natural Gas Company as well as other operating subsidiaries. Collectively these businesses are referred to as “Peoples,” a natural gas distribution company headquartered in Pittsburgh, Pennsylvania, serving approximately 740,000 gas utility customers in Western Pennsylvania, West Virginia, and Kentucky. The Company will acquire LDC for $4,275,000, which will be reduced by the amount of outstanding indebtedness at closing, which is estimated to</w:t>
      </w:r>
    </w:p>
    <w:p>
      <w:pPr>
        <w:spacing w:after="0" w:line="2" w:lineRule="exact"/>
        <w:rPr>
          <w:sz w:val="20"/>
          <w:szCs w:val="20"/>
          <w:color w:val="auto"/>
        </w:rPr>
      </w:pPr>
    </w:p>
    <w:p>
      <w:pPr>
        <w:ind w:right="80"/>
        <w:spacing w:after="0" w:line="271" w:lineRule="auto"/>
        <w:rPr>
          <w:sz w:val="20"/>
          <w:szCs w:val="20"/>
          <w:color w:val="auto"/>
        </w:rPr>
      </w:pPr>
      <w:r>
        <w:rPr>
          <w:rFonts w:ascii="Arial" w:cs="Arial" w:eastAsia="Arial" w:hAnsi="Arial"/>
          <w:sz w:val="19"/>
          <w:szCs w:val="19"/>
          <w:color w:val="auto"/>
        </w:rPr>
        <w:t>approximate $1,300,000. The Company expects to finance this acquisition and refinance certain debt with a mix of common equity, mandatory convertible equity units, debt financing, which could include senior notes issued in capital markets transactions, term loans or other credit facilities or any combination thereof. On October 23, 2018, the Company entered into interest rate swap agreements which locked in the interest rate for an anticipated $850,000 of future debt issuances related to this acquisition. The interest rate swaps do not qualify for hedge accounting and any changes in the fair value of the swaps will be included in our future earnings. The purchase price for this pending acquisition is subject to certain other adjustments at closing, and is subject to regulatory approval by the United States Federal Trade Commission, and the public utility commissions in Pennsylvania, Kentucky, and West Virginia. This acquisition is expected to close in mid-2019, once regulatory approvals are obtained, and it is anticipated that this transaction will result in the recording of goodwill. In the event that this acquisition is terminated a fee of $120,000 would be payable to the Seller.</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22"/>
          <w:szCs w:val="22"/>
          <w:color w:val="auto"/>
        </w:rPr>
        <w:t>In July 2018, the Company acquired the wastewater utility systems assets of Limerick Township,</w:t>
      </w:r>
    </w:p>
    <w:p>
      <w:pPr>
        <w:spacing w:after="0" w:line="8" w:lineRule="exact"/>
        <w:rPr>
          <w:sz w:val="20"/>
          <w:szCs w:val="20"/>
          <w:color w:val="auto"/>
        </w:rPr>
      </w:pPr>
    </w:p>
    <w:p>
      <w:pPr>
        <w:spacing w:after="0"/>
        <w:rPr>
          <w:sz w:val="20"/>
          <w:szCs w:val="20"/>
          <w:color w:val="auto"/>
        </w:rPr>
      </w:pPr>
      <w:r>
        <w:rPr>
          <w:rFonts w:ascii="Arial" w:cs="Arial" w:eastAsia="Arial" w:hAnsi="Arial"/>
          <w:sz w:val="21"/>
          <w:szCs w:val="21"/>
          <w:color w:val="auto"/>
        </w:rPr>
        <w:t>Pennsylvania which serves 5,497 customers. The total cash purchase price for the utility system was</w:t>
      </w:r>
    </w:p>
    <w:p>
      <w:pPr>
        <w:spacing w:after="0" w:line="2" w:lineRule="exact"/>
        <w:rPr>
          <w:sz w:val="20"/>
          <w:szCs w:val="20"/>
          <w:color w:val="auto"/>
        </w:rPr>
      </w:pPr>
    </w:p>
    <w:p>
      <w:pPr>
        <w:spacing w:after="0"/>
        <w:rPr>
          <w:sz w:val="20"/>
          <w:szCs w:val="20"/>
          <w:color w:val="auto"/>
        </w:rPr>
      </w:pPr>
      <w:r>
        <w:rPr>
          <w:rFonts w:ascii="Arial" w:cs="Arial" w:eastAsia="Arial" w:hAnsi="Arial"/>
          <w:sz w:val="19"/>
          <w:szCs w:val="19"/>
          <w:color w:val="auto"/>
        </w:rPr>
        <w:t>$74,836. The purchase price allocation for this acquisition consisted primarily of acquired property, plant and</w:t>
      </w:r>
    </w:p>
    <w:p>
      <w:pPr>
        <w:spacing w:after="0" w:line="15" w:lineRule="exact"/>
        <w:rPr>
          <w:sz w:val="20"/>
          <w:szCs w:val="20"/>
          <w:color w:val="auto"/>
        </w:rPr>
      </w:pPr>
    </w:p>
    <w:p>
      <w:pPr>
        <w:spacing w:after="0"/>
        <w:tabs>
          <w:tab w:leader="none" w:pos="4440" w:val="left"/>
        </w:tabs>
        <w:rPr>
          <w:sz w:val="20"/>
          <w:szCs w:val="20"/>
          <w:color w:val="auto"/>
        </w:rPr>
      </w:pPr>
      <w:r>
        <w:rPr>
          <w:rFonts w:ascii="Arial" w:cs="Arial" w:eastAsia="Arial" w:hAnsi="Arial"/>
          <w:sz w:val="22"/>
          <w:szCs w:val="22"/>
          <w:color w:val="auto"/>
        </w:rPr>
        <w:t>equipment of $64,759, and goodwill of $11,297.</w:t>
      </w:r>
      <w:r>
        <w:rPr>
          <w:sz w:val="20"/>
          <w:szCs w:val="20"/>
          <w:color w:val="auto"/>
        </w:rPr>
        <w:tab/>
      </w:r>
      <w:r>
        <w:rPr>
          <w:rFonts w:ascii="Arial" w:cs="Arial" w:eastAsia="Arial" w:hAnsi="Arial"/>
          <w:sz w:val="19"/>
          <w:szCs w:val="19"/>
          <w:color w:val="auto"/>
        </w:rPr>
        <w:t>Additionally, during the first nine months of 2018, the</w:t>
      </w:r>
    </w:p>
    <w:p>
      <w:pPr>
        <w:spacing w:after="0"/>
        <w:rPr>
          <w:sz w:val="20"/>
          <w:szCs w:val="20"/>
          <w:color w:val="auto"/>
        </w:rPr>
      </w:pPr>
      <w:r>
        <w:rPr>
          <w:rFonts w:ascii="Arial" w:cs="Arial" w:eastAsia="Arial" w:hAnsi="Arial"/>
          <w:sz w:val="19"/>
          <w:szCs w:val="19"/>
          <w:color w:val="auto"/>
        </w:rPr>
        <w:t>Company completed four acquisitions of water and wastewater utility systems in various states adding 4,338</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customers. The total purchase price of these utility systems consisted of $25,190 in cash. The purchase price</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allocation for these acquisitions consisted primarily of acquired property, plant and equipment. The pro forma</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effect of the businesses acquired is not material either individually or collectively to the Company’s results of</w:t>
      </w:r>
    </w:p>
    <w:p>
      <w:pPr>
        <w:spacing w:after="0" w:line="25" w:lineRule="exact"/>
        <w:rPr>
          <w:sz w:val="20"/>
          <w:szCs w:val="20"/>
          <w:color w:val="auto"/>
        </w:rPr>
      </w:pPr>
    </w:p>
    <w:p>
      <w:pPr>
        <w:spacing w:after="0"/>
        <w:rPr>
          <w:sz w:val="20"/>
          <w:szCs w:val="20"/>
          <w:color w:val="auto"/>
        </w:rPr>
      </w:pPr>
      <w:r>
        <w:rPr>
          <w:rFonts w:ascii="Arial" w:cs="Arial" w:eastAsia="Arial" w:hAnsi="Arial"/>
          <w:sz w:val="22"/>
          <w:szCs w:val="22"/>
          <w:color w:val="auto"/>
        </w:rPr>
        <w:t>operations.</w:t>
      </w:r>
    </w:p>
    <w:p>
      <w:pPr>
        <w:spacing w:after="0" w:line="215" w:lineRule="exact"/>
        <w:rPr>
          <w:sz w:val="20"/>
          <w:szCs w:val="20"/>
          <w:color w:val="auto"/>
        </w:rPr>
      </w:pPr>
    </w:p>
    <w:p>
      <w:pPr>
        <w:ind w:right="140"/>
        <w:spacing w:after="0" w:line="287" w:lineRule="auto"/>
        <w:rPr>
          <w:sz w:val="20"/>
          <w:szCs w:val="20"/>
          <w:color w:val="auto"/>
        </w:rPr>
      </w:pPr>
      <w:r>
        <w:rPr>
          <w:rFonts w:ascii="Arial" w:cs="Arial" w:eastAsia="Arial" w:hAnsi="Arial"/>
          <w:sz w:val="19"/>
          <w:szCs w:val="19"/>
          <w:color w:val="auto"/>
        </w:rPr>
        <w:t>In July 2018, the Company entered into a purchase agreement to acquire the wastewater utility system assets of Cheltenham Township, Pennsylvania, which serves approximately 10,500 customers for $50,250. The purchase price for this pending acquisition is subject to certain adjustments at closing, and is subject to regulatory approval, including the final determination of the fair value of the rate base acquired.</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63500</wp:posOffset>
            </wp:positionV>
            <wp:extent cx="6114415" cy="514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114415" cy="51435"/>
                    </a:xfrm>
                    <a:prstGeom prst="rect">
                      <a:avLst/>
                    </a:prstGeom>
                    <a:noFill/>
                  </pic:spPr>
                </pic:pic>
              </a:graphicData>
            </a:graphic>
          </wp:anchor>
        </w:drawing>
      </w:r>
    </w:p>
    <w:p>
      <w:pPr>
        <w:sectPr>
          <w:pgSz w:w="11900" w:h="16838" w:orient="portrait"/>
          <w:cols w:equalWidth="0" w:num="1">
            <w:col w:w="9540"/>
          </w:cols>
          <w:pgMar w:left="1220" w:top="118" w:right="1139" w:bottom="1440" w:gutter="0" w:footer="0" w:header="0"/>
        </w:sectPr>
      </w:pPr>
    </w:p>
    <w:bookmarkStart w:id="15" w:name="page16"/>
    <w:bookmarkEnd w:id="15"/>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9" w:lineRule="exact"/>
        <w:rPr>
          <w:sz w:val="20"/>
          <w:szCs w:val="20"/>
          <w:color w:val="auto"/>
        </w:rPr>
      </w:pPr>
    </w:p>
    <w:p>
      <w:pPr>
        <w:jc w:val="center"/>
        <w:ind w:left="1240" w:right="1540"/>
        <w:spacing w:after="0"/>
        <w:rPr>
          <w:sz w:val="20"/>
          <w:szCs w:val="20"/>
          <w:color w:val="auto"/>
        </w:rPr>
      </w:pPr>
      <w:r>
        <w:rPr>
          <w:rFonts w:ascii="Arial" w:cs="Arial" w:eastAsia="Arial" w:hAnsi="Arial"/>
          <w:sz w:val="22"/>
          <w:szCs w:val="22"/>
          <w:color w:val="auto"/>
        </w:rPr>
        <w:t>AQUA AMERICA, INC. AND SUBSIDIARIES NOTES TO CONSOLIDATED FINANCIAL STATEMENTS (continued) (In thousands of dollars, except per share amounts) (UNAUDITED)</w:t>
      </w:r>
    </w:p>
    <w:p>
      <w:pPr>
        <w:spacing w:after="0" w:line="200" w:lineRule="exact"/>
        <w:rPr>
          <w:sz w:val="20"/>
          <w:szCs w:val="20"/>
          <w:color w:val="auto"/>
        </w:rPr>
      </w:pPr>
    </w:p>
    <w:p>
      <w:pPr>
        <w:spacing w:after="0" w:line="239" w:lineRule="exact"/>
        <w:rPr>
          <w:sz w:val="20"/>
          <w:szCs w:val="20"/>
          <w:color w:val="auto"/>
        </w:rPr>
      </w:pPr>
    </w:p>
    <w:p>
      <w:pPr>
        <w:spacing w:after="0" w:line="234" w:lineRule="auto"/>
        <w:rPr>
          <w:sz w:val="20"/>
          <w:szCs w:val="20"/>
          <w:color w:val="auto"/>
        </w:rPr>
      </w:pPr>
      <w:r>
        <w:rPr>
          <w:rFonts w:ascii="Arial" w:cs="Arial" w:eastAsia="Arial" w:hAnsi="Arial"/>
          <w:sz w:val="22"/>
          <w:szCs w:val="22"/>
          <w:color w:val="auto"/>
        </w:rPr>
        <w:t>In addition to the Company’s pending acquisition in Cheltenham Township, Pennsylvania, as part of the Company’s growth-through-acquisition strategy, the Company entered into purchase agreements to acquire the water or wastewater utility system assets of seven municipalities for a total combined purchase price in cash of $65,418 which we plan to finance by the issuance of debt. The purchase price for these acquisitions is subject to certain adjustments at closing, and the acquisitions are subject to regulatory approvals, including the final determination of the fair value of the rate base acquired. In October 2018, we closed on the following acquisition:</w:t>
      </w:r>
    </w:p>
    <w:p>
      <w:pPr>
        <w:spacing w:after="0" w:line="218" w:lineRule="exact"/>
        <w:rPr>
          <w:sz w:val="20"/>
          <w:szCs w:val="20"/>
          <w:color w:val="auto"/>
        </w:rPr>
      </w:pPr>
    </w:p>
    <w:p>
      <w:pPr>
        <w:ind w:left="640" w:right="740" w:hanging="315"/>
        <w:spacing w:after="0" w:line="251" w:lineRule="auto"/>
        <w:tabs>
          <w:tab w:leader="none" w:pos="640" w:val="left"/>
        </w:tabs>
        <w:numPr>
          <w:ilvl w:val="0"/>
          <w:numId w:val="3"/>
        </w:numPr>
        <w:rPr>
          <w:rFonts w:ascii="Arial" w:cs="Arial" w:eastAsia="Arial" w:hAnsi="Arial"/>
          <w:sz w:val="22"/>
          <w:szCs w:val="22"/>
          <w:color w:val="auto"/>
        </w:rPr>
      </w:pPr>
      <w:r>
        <w:rPr>
          <w:rFonts w:ascii="Arial" w:cs="Arial" w:eastAsia="Arial" w:hAnsi="Arial"/>
          <w:sz w:val="22"/>
          <w:szCs w:val="22"/>
          <w:color w:val="auto"/>
        </w:rPr>
        <w:t>Peotone, Illinois for $12,300 in cash, which serves approximately 3,000 water and wastewater customers.</w:t>
      </w:r>
    </w:p>
    <w:p>
      <w:pPr>
        <w:spacing w:after="0" w:line="200" w:lineRule="exact"/>
        <w:rPr>
          <w:sz w:val="20"/>
          <w:szCs w:val="20"/>
          <w:color w:val="auto"/>
        </w:rPr>
      </w:pPr>
    </w:p>
    <w:p>
      <w:pPr>
        <w:jc w:val="both"/>
        <w:ind w:right="100"/>
        <w:spacing w:after="0"/>
        <w:rPr>
          <w:sz w:val="20"/>
          <w:szCs w:val="20"/>
          <w:color w:val="auto"/>
        </w:rPr>
      </w:pPr>
      <w:r>
        <w:rPr>
          <w:rFonts w:ascii="Arial" w:cs="Arial" w:eastAsia="Arial" w:hAnsi="Arial"/>
          <w:sz w:val="22"/>
          <w:szCs w:val="22"/>
          <w:color w:val="auto"/>
        </w:rPr>
        <w:t>Closings for our remaining acquisitions are expected to occur by the end of 2019, subject to the timing of the regulatory approval process. In total, these acquisitions will add approximately 10,800 customers in three of the states in which the Company operates in.</w:t>
      </w:r>
    </w:p>
    <w:p>
      <w:pPr>
        <w:spacing w:after="0" w:line="213" w:lineRule="exact"/>
        <w:rPr>
          <w:sz w:val="20"/>
          <w:szCs w:val="20"/>
          <w:color w:val="auto"/>
        </w:rPr>
      </w:pPr>
    </w:p>
    <w:p>
      <w:pPr>
        <w:ind w:right="200"/>
        <w:spacing w:after="0" w:line="287" w:lineRule="auto"/>
        <w:rPr>
          <w:sz w:val="20"/>
          <w:szCs w:val="20"/>
          <w:color w:val="auto"/>
        </w:rPr>
      </w:pPr>
      <w:r>
        <w:rPr>
          <w:rFonts w:ascii="Arial" w:cs="Arial" w:eastAsia="Arial" w:hAnsi="Arial"/>
          <w:sz w:val="19"/>
          <w:szCs w:val="19"/>
          <w:color w:val="auto"/>
        </w:rPr>
        <w:t>During 2017, the Company completed four acquisitions of water and wastewater utility systems in various states adding 1,003 customers. The total purchase price of these utility systems consisted of $5,860 in cash, which resulted in $72 of goodwill being recorded. The pro forma effect of the businesses acquired is not material either individually or collectively to the Company’s results of operations.</w:t>
      </w:r>
    </w:p>
    <w:p>
      <w:pPr>
        <w:spacing w:after="0" w:line="16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Note 5 – </w:t>
      </w:r>
      <w:r>
        <w:rPr>
          <w:rFonts w:ascii="Arial" w:cs="Arial" w:eastAsia="Arial" w:hAnsi="Arial"/>
          <w:sz w:val="22"/>
          <w:szCs w:val="22"/>
          <w:b w:val="1"/>
          <w:bCs w:val="1"/>
          <w:i w:val="1"/>
          <w:iCs w:val="1"/>
          <w:color w:val="auto"/>
        </w:rPr>
        <w:t>Assets Held for Sale</w:t>
      </w:r>
    </w:p>
    <w:p>
      <w:pPr>
        <w:spacing w:after="0" w:line="239" w:lineRule="exact"/>
        <w:rPr>
          <w:sz w:val="20"/>
          <w:szCs w:val="20"/>
          <w:color w:val="auto"/>
        </w:rPr>
      </w:pPr>
    </w:p>
    <w:p>
      <w:pPr>
        <w:ind w:right="60"/>
        <w:spacing w:after="0" w:line="252" w:lineRule="auto"/>
        <w:rPr>
          <w:sz w:val="20"/>
          <w:szCs w:val="20"/>
          <w:color w:val="auto"/>
        </w:rPr>
      </w:pPr>
      <w:r>
        <w:rPr>
          <w:rFonts w:ascii="Arial" w:cs="Arial" w:eastAsia="Arial" w:hAnsi="Arial"/>
          <w:sz w:val="21"/>
          <w:szCs w:val="21"/>
          <w:color w:val="auto"/>
        </w:rPr>
        <w:t>In the first quarter of 2017, the Company decided to market for sale a water system that serves approximately 265 customers. This water system is reported as assets held for sale in the Company’s consolidated balance sheet. The Company has been in discussions with a potential buyer for the water system and is currently negotiating the terms of a sale, which will require regulatory approval.</w:t>
      </w:r>
    </w:p>
    <w:p>
      <w:pPr>
        <w:spacing w:after="0" w:line="200" w:lineRule="exact"/>
        <w:rPr>
          <w:sz w:val="20"/>
          <w:szCs w:val="20"/>
          <w:color w:val="auto"/>
        </w:rPr>
      </w:pPr>
    </w:p>
    <w:p>
      <w:pPr>
        <w:spacing w:after="0" w:line="231"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63500</wp:posOffset>
            </wp:positionV>
            <wp:extent cx="6114415" cy="514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114415" cy="51435"/>
                    </a:xfrm>
                    <a:prstGeom prst="rect">
                      <a:avLst/>
                    </a:prstGeom>
                    <a:noFill/>
                  </pic:spPr>
                </pic:pic>
              </a:graphicData>
            </a:graphic>
          </wp:anchor>
        </w:drawing>
      </w:r>
    </w:p>
    <w:p>
      <w:pPr>
        <w:sectPr>
          <w:pgSz w:w="11900" w:h="16838" w:orient="portrait"/>
          <w:cols w:equalWidth="0" w:num="1">
            <w:col w:w="9520"/>
          </w:cols>
          <w:pgMar w:left="1220" w:top="118" w:right="1159" w:bottom="1440" w:gutter="0" w:footer="0" w:header="0"/>
        </w:sectPr>
      </w:pPr>
    </w:p>
    <w:bookmarkStart w:id="16" w:name="page17"/>
    <w:bookmarkEnd w:id="16"/>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AQUA AMERICA, INC. AND SUBSIDIARIES NOTES TO CONSOLIDATED FINANCIAL STATEMENTS (continued) (In thousands of dollars, except per share amounts) (UNAUDITED)</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Note 6 – </w:t>
      </w:r>
      <w:r>
        <w:rPr>
          <w:rFonts w:ascii="Arial" w:cs="Arial" w:eastAsia="Arial" w:hAnsi="Arial"/>
          <w:sz w:val="22"/>
          <w:szCs w:val="22"/>
          <w:b w:val="1"/>
          <w:bCs w:val="1"/>
          <w:i w:val="1"/>
          <w:iCs w:val="1"/>
          <w:color w:val="auto"/>
        </w:rPr>
        <w:t>Capitalization</w:t>
      </w:r>
    </w:p>
    <w:p>
      <w:pPr>
        <w:spacing w:after="0" w:line="239" w:lineRule="exact"/>
        <w:rPr>
          <w:sz w:val="20"/>
          <w:szCs w:val="20"/>
          <w:color w:val="auto"/>
        </w:rPr>
      </w:pPr>
    </w:p>
    <w:p>
      <w:pPr>
        <w:ind w:right="40"/>
        <w:spacing w:after="0" w:line="279" w:lineRule="auto"/>
        <w:rPr>
          <w:sz w:val="20"/>
          <w:szCs w:val="20"/>
          <w:color w:val="auto"/>
        </w:rPr>
      </w:pPr>
      <w:r>
        <w:rPr>
          <w:rFonts w:ascii="Arial" w:cs="Arial" w:eastAsia="Arial" w:hAnsi="Arial"/>
          <w:sz w:val="19"/>
          <w:szCs w:val="19"/>
          <w:color w:val="auto"/>
        </w:rPr>
        <w:t>In June 2018, the Company amended its unsecured revolving credit facility, to extend the expiration from February 2021 to June 2023, and to increase the facility from $250,000 to $500,000. Funds borrowed under this facility are classified as long-term debt and are used to provide working capital as well as support for letters of credit for insurance policies and other financing arrangements. Interest under this facility is based at the Company’s option, on the prime rate, an adjusted Euro-Rate, an adjusted federal funds rate or at rates offered by the banks. A facility fee is charged on the total commitment amount of the agreement.</w:t>
      </w:r>
    </w:p>
    <w:p>
      <w:pPr>
        <w:spacing w:after="0" w:line="178"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In June 2018, Aqua Pennsylvania issued $100,000 of first mortgage bonds, of which $25,000 is due in 2042, $10,000 is due in 2045, and $65,000 is due in 2048 with interest rates of 3.99%, 4.04%, and 4.09%, respectively. The proceeds from these bonds were used to repay existing indebtedness and for general corporate purposes.</w:t>
      </w:r>
    </w:p>
    <w:p>
      <w:pPr>
        <w:spacing w:after="0" w:line="212" w:lineRule="exact"/>
        <w:rPr>
          <w:sz w:val="20"/>
          <w:szCs w:val="20"/>
          <w:color w:val="auto"/>
        </w:rPr>
      </w:pPr>
    </w:p>
    <w:p>
      <w:pPr>
        <w:jc w:val="both"/>
        <w:ind w:right="20"/>
        <w:spacing w:after="0" w:line="251" w:lineRule="auto"/>
        <w:rPr>
          <w:sz w:val="20"/>
          <w:szCs w:val="20"/>
          <w:color w:val="auto"/>
        </w:rPr>
      </w:pPr>
      <w:r>
        <w:rPr>
          <w:rFonts w:ascii="Arial" w:cs="Arial" w:eastAsia="Arial" w:hAnsi="Arial"/>
          <w:sz w:val="22"/>
          <w:szCs w:val="22"/>
          <w:color w:val="auto"/>
        </w:rPr>
        <w:t>In July 2018, Aqua Pennsylvania redeemed $49,660 of tax-exempt bonds at 5.25% that were originally maturing in 2042 and 2043, respectively.</w:t>
      </w:r>
    </w:p>
    <w:p>
      <w:pPr>
        <w:spacing w:after="0" w:line="19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Note 7 – </w:t>
      </w:r>
      <w:r>
        <w:rPr>
          <w:rFonts w:ascii="Arial" w:cs="Arial" w:eastAsia="Arial" w:hAnsi="Arial"/>
          <w:sz w:val="22"/>
          <w:szCs w:val="22"/>
          <w:b w:val="1"/>
          <w:bCs w:val="1"/>
          <w:i w:val="1"/>
          <w:iCs w:val="1"/>
          <w:color w:val="auto"/>
        </w:rPr>
        <w:t>Financial Instruments</w:t>
      </w:r>
    </w:p>
    <w:p>
      <w:pPr>
        <w:spacing w:after="0" w:line="239" w:lineRule="exact"/>
        <w:rPr>
          <w:sz w:val="20"/>
          <w:szCs w:val="20"/>
          <w:color w:val="auto"/>
        </w:rPr>
      </w:pPr>
    </w:p>
    <w:p>
      <w:pPr>
        <w:ind w:right="200"/>
        <w:spacing w:after="0" w:line="279" w:lineRule="auto"/>
        <w:rPr>
          <w:sz w:val="20"/>
          <w:szCs w:val="20"/>
          <w:color w:val="auto"/>
        </w:rPr>
      </w:pPr>
      <w:r>
        <w:rPr>
          <w:rFonts w:ascii="Arial" w:cs="Arial" w:eastAsia="Arial" w:hAnsi="Arial"/>
          <w:sz w:val="19"/>
          <w:szCs w:val="19"/>
          <w:color w:val="auto"/>
        </w:rPr>
        <w:t>The Company follows the FASB’s accounting guidance for fair value measurements and disclosures, which defines fair value and establishes a framework for using fair value to measure assets and liabilities. That framework provides a fair value hierarchy that prioritizes the inputs to valuation techniques used to measure fair value. The hierarchy gives highest priority to unadjusted quoted prices in active markets for identical assets or liabilities (Level 1 measurements) and the lowest priority to unobservable inputs (Level 3 measurements). The three levels of the fair value hierarchy are as follows:</w:t>
      </w:r>
    </w:p>
    <w:p>
      <w:pPr>
        <w:spacing w:after="0" w:line="178" w:lineRule="exact"/>
        <w:rPr>
          <w:sz w:val="20"/>
          <w:szCs w:val="20"/>
          <w:color w:val="auto"/>
        </w:rPr>
      </w:pPr>
    </w:p>
    <w:p>
      <w:pPr>
        <w:ind w:left="640" w:right="60" w:hanging="315"/>
        <w:spacing w:after="0" w:line="251" w:lineRule="auto"/>
        <w:tabs>
          <w:tab w:leader="none" w:pos="640" w:val="left"/>
        </w:tabs>
        <w:numPr>
          <w:ilvl w:val="0"/>
          <w:numId w:val="4"/>
        </w:numPr>
        <w:rPr>
          <w:rFonts w:ascii="Arial" w:cs="Arial" w:eastAsia="Arial" w:hAnsi="Arial"/>
          <w:sz w:val="22"/>
          <w:szCs w:val="22"/>
          <w:color w:val="auto"/>
        </w:rPr>
      </w:pPr>
      <w:r>
        <w:rPr>
          <w:rFonts w:ascii="Arial" w:cs="Arial" w:eastAsia="Arial" w:hAnsi="Arial"/>
          <w:sz w:val="22"/>
          <w:szCs w:val="22"/>
          <w:color w:val="auto"/>
        </w:rPr>
        <w:t>Level 1: unadjusted quoted prices in active markets for identical assets or liabilities that the Company has the ability to access;</w:t>
      </w:r>
    </w:p>
    <w:p>
      <w:pPr>
        <w:spacing w:after="0" w:line="65" w:lineRule="exact"/>
        <w:rPr>
          <w:rFonts w:ascii="Arial" w:cs="Arial" w:eastAsia="Arial" w:hAnsi="Arial"/>
          <w:sz w:val="22"/>
          <w:szCs w:val="22"/>
          <w:color w:val="auto"/>
        </w:rPr>
      </w:pPr>
    </w:p>
    <w:p>
      <w:pPr>
        <w:ind w:left="640" w:right="60" w:hanging="315"/>
        <w:spacing w:after="0" w:line="287" w:lineRule="auto"/>
        <w:tabs>
          <w:tab w:leader="none" w:pos="640" w:val="left"/>
        </w:tabs>
        <w:numPr>
          <w:ilvl w:val="0"/>
          <w:numId w:val="4"/>
        </w:numPr>
        <w:rPr>
          <w:rFonts w:ascii="Arial" w:cs="Arial" w:eastAsia="Arial" w:hAnsi="Arial"/>
          <w:sz w:val="19"/>
          <w:szCs w:val="19"/>
          <w:color w:val="auto"/>
        </w:rPr>
      </w:pPr>
      <w:r>
        <w:rPr>
          <w:rFonts w:ascii="Arial" w:cs="Arial" w:eastAsia="Arial" w:hAnsi="Arial"/>
          <w:sz w:val="19"/>
          <w:szCs w:val="19"/>
          <w:color w:val="auto"/>
        </w:rPr>
        <w:t>Level 2: inputs other than Level 1 that are observable, either directly or indirectly, such as quoted market prices in active markets for similar assets or liabilities, quoted prices for identical or similar assets or liabilities in non-active markets, or other inputs that are observable or can be corroborated by observable market data for substantially the full term of the assets or liabilities; or</w:t>
      </w:r>
    </w:p>
    <w:p>
      <w:pPr>
        <w:spacing w:after="0" w:line="35" w:lineRule="exact"/>
        <w:rPr>
          <w:rFonts w:ascii="Arial" w:cs="Arial" w:eastAsia="Arial" w:hAnsi="Arial"/>
          <w:sz w:val="19"/>
          <w:szCs w:val="19"/>
          <w:color w:val="auto"/>
        </w:rPr>
      </w:pPr>
    </w:p>
    <w:p>
      <w:pPr>
        <w:ind w:left="640" w:hanging="315"/>
        <w:spacing w:after="0"/>
        <w:tabs>
          <w:tab w:leader="none" w:pos="640" w:val="left"/>
        </w:tabs>
        <w:numPr>
          <w:ilvl w:val="0"/>
          <w:numId w:val="4"/>
        </w:numPr>
        <w:rPr>
          <w:rFonts w:ascii="Arial" w:cs="Arial" w:eastAsia="Arial" w:hAnsi="Arial"/>
          <w:sz w:val="22"/>
          <w:szCs w:val="22"/>
          <w:color w:val="auto"/>
        </w:rPr>
      </w:pPr>
      <w:r>
        <w:rPr>
          <w:rFonts w:ascii="Arial" w:cs="Arial" w:eastAsia="Arial" w:hAnsi="Arial"/>
          <w:sz w:val="22"/>
          <w:szCs w:val="22"/>
          <w:color w:val="auto"/>
        </w:rPr>
        <w:t>Level 3: inputs that are unobservable and significant to the fair value measurement.</w:t>
      </w:r>
    </w:p>
    <w:p>
      <w:pPr>
        <w:spacing w:after="0" w:line="233" w:lineRule="exact"/>
        <w:rPr>
          <w:sz w:val="20"/>
          <w:szCs w:val="20"/>
          <w:color w:val="auto"/>
        </w:rPr>
      </w:pPr>
    </w:p>
    <w:p>
      <w:pPr>
        <w:ind w:right="320"/>
        <w:spacing w:after="0" w:line="282" w:lineRule="auto"/>
        <w:rPr>
          <w:sz w:val="20"/>
          <w:szCs w:val="20"/>
          <w:color w:val="auto"/>
        </w:rPr>
      </w:pPr>
      <w:r>
        <w:rPr>
          <w:rFonts w:ascii="Arial" w:cs="Arial" w:eastAsia="Arial" w:hAnsi="Arial"/>
          <w:sz w:val="19"/>
          <w:szCs w:val="19"/>
          <w:color w:val="auto"/>
        </w:rPr>
        <w:t>The asset’s or liability’s fair value measurement level within the fair value hierarchy is based on the lowest level of any input that is significant to the fair value measurement. Valuation techniques used need to maximize the use of observable inputs and minimize the use of unobservable inputs. There have been no changes in the valuation techniques used to measure fair value, or asset or liability transfers between the levels of the fair value hierarchy for the quarter ended September 30, 2018.</w:t>
      </w:r>
    </w:p>
    <w:p>
      <w:pPr>
        <w:spacing w:after="0" w:line="175" w:lineRule="exact"/>
        <w:rPr>
          <w:sz w:val="20"/>
          <w:szCs w:val="20"/>
          <w:color w:val="auto"/>
        </w:rPr>
      </w:pPr>
    </w:p>
    <w:p>
      <w:pPr>
        <w:ind w:right="140"/>
        <w:spacing w:after="0"/>
        <w:rPr>
          <w:sz w:val="20"/>
          <w:szCs w:val="20"/>
          <w:color w:val="auto"/>
        </w:rPr>
      </w:pPr>
      <w:r>
        <w:rPr>
          <w:rFonts w:ascii="Arial" w:cs="Arial" w:eastAsia="Arial" w:hAnsi="Arial"/>
          <w:sz w:val="22"/>
          <w:szCs w:val="22"/>
          <w:color w:val="auto"/>
        </w:rPr>
        <w:t>Financial instruments are recorded at carrying value in the financial statements and approximate fair value as of the dates presented. The fair value of these instruments is disclosed below in accordance with current accounting guidance related to financial instruments.</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63500</wp:posOffset>
            </wp:positionV>
            <wp:extent cx="6114415" cy="514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114415" cy="51435"/>
                    </a:xfrm>
                    <a:prstGeom prst="rect">
                      <a:avLst/>
                    </a:prstGeom>
                    <a:noFill/>
                  </pic:spPr>
                </pic:pic>
              </a:graphicData>
            </a:graphic>
          </wp:anchor>
        </w:drawing>
      </w:r>
    </w:p>
    <w:p>
      <w:pPr>
        <w:sectPr>
          <w:pgSz w:w="11900" w:h="16838" w:orient="portrait"/>
          <w:cols w:equalWidth="0" w:num="1">
            <w:col w:w="9560"/>
          </w:cols>
          <w:pgMar w:left="1220" w:top="118" w:right="1119" w:bottom="1440" w:gutter="0" w:footer="0" w:header="0"/>
        </w:sectPr>
      </w:pPr>
    </w:p>
    <w:bookmarkStart w:id="17" w:name="page18"/>
    <w:bookmarkEnd w:id="17"/>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AQUA AMERICA, INC. AND SUBSIDIARIES NOTES TO CONSOLIDATED FINANCIAL STATEMENTS (continued) (In thousands of dollars, except per share amounts) (UNAUDITED)</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spacing w:after="0" w:line="273" w:lineRule="auto"/>
        <w:rPr>
          <w:sz w:val="20"/>
          <w:szCs w:val="20"/>
          <w:color w:val="auto"/>
        </w:rPr>
      </w:pPr>
      <w:r>
        <w:rPr>
          <w:rFonts w:ascii="Arial" w:cs="Arial" w:eastAsia="Arial" w:hAnsi="Arial"/>
          <w:sz w:val="19"/>
          <w:szCs w:val="19"/>
          <w:color w:val="auto"/>
        </w:rPr>
        <w:t>The fair value of loans payable is determined based on its carrying amount and utilizing Level 1 methods and assumptions. As of September 30, 2018 and December 31, 2017, the carrying amount of the Company’s loans payable was $21,689 and $3,650, respectively, which equates to their estimated fair value. The fair value of cash and cash equivalents, which is comprised of uninvested cash, is determined based on the net asset value per unit utilizing Level 1 methods and assumptions. As of September 30, 2018 and December 31, 2017, the carrying amounts of the Company's cash and cash equivalents was $4,264 and $4,204, respectively, which equates to their fair value. The Company’s assets underlying the deferred compensation and non-qualified pension plans are determined by the fair value of mutual funds, which are based on quoted market prices from active markets utilizing Level 1 methods and assumptions. As of September 30, 2018 and December 31, 2017, the carrying amount of these securities was $22,215 and $21,776, respectively, which equates to their fair value, and is reported in the consolidated balance sheet in deferred charges and other assets.</w:t>
      </w:r>
    </w:p>
    <w:p>
      <w:pPr>
        <w:spacing w:after="0" w:line="183" w:lineRule="exact"/>
        <w:rPr>
          <w:sz w:val="20"/>
          <w:szCs w:val="20"/>
          <w:color w:val="auto"/>
        </w:rPr>
      </w:pPr>
    </w:p>
    <w:p>
      <w:pPr>
        <w:ind w:right="180"/>
        <w:spacing w:after="0" w:line="251" w:lineRule="auto"/>
        <w:rPr>
          <w:sz w:val="20"/>
          <w:szCs w:val="20"/>
          <w:color w:val="auto"/>
        </w:rPr>
      </w:pPr>
      <w:r>
        <w:rPr>
          <w:rFonts w:ascii="Arial" w:cs="Arial" w:eastAsia="Arial" w:hAnsi="Arial"/>
          <w:sz w:val="22"/>
          <w:szCs w:val="22"/>
          <w:color w:val="auto"/>
        </w:rPr>
        <w:t>Unrealized gain and losses on equity securities held in conjunction with our non-qualified pension plan is as follows:</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5600" w:type="dxa"/>
            <w:vAlign w:val="bottom"/>
          </w:tcPr>
          <w:p>
            <w:pPr>
              <w:spacing w:after="0"/>
              <w:rPr>
                <w:sz w:val="21"/>
                <w:szCs w:val="21"/>
                <w:color w:val="auto"/>
              </w:rPr>
            </w:pPr>
          </w:p>
        </w:tc>
        <w:tc>
          <w:tcPr>
            <w:tcW w:w="2120" w:type="dxa"/>
            <w:vAlign w:val="bottom"/>
            <w:gridSpan w:val="3"/>
          </w:tcPr>
          <w:p>
            <w:pPr>
              <w:jc w:val="center"/>
              <w:ind w:right="200"/>
              <w:spacing w:after="0"/>
              <w:rPr>
                <w:sz w:val="20"/>
                <w:szCs w:val="20"/>
                <w:color w:val="auto"/>
              </w:rPr>
            </w:pPr>
            <w:r>
              <w:rPr>
                <w:rFonts w:ascii="Arial" w:cs="Arial" w:eastAsia="Arial" w:hAnsi="Arial"/>
                <w:sz w:val="20"/>
                <w:szCs w:val="20"/>
                <w:color w:val="auto"/>
                <w:w w:val="89"/>
              </w:rPr>
              <w:t>Three Months Ended</w:t>
            </w:r>
          </w:p>
        </w:tc>
        <w:tc>
          <w:tcPr>
            <w:tcW w:w="1820" w:type="dxa"/>
            <w:vAlign w:val="bottom"/>
            <w:gridSpan w:val="2"/>
          </w:tcPr>
          <w:p>
            <w:pPr>
              <w:jc w:val="center"/>
              <w:spacing w:after="0"/>
              <w:rPr>
                <w:sz w:val="20"/>
                <w:szCs w:val="20"/>
                <w:color w:val="auto"/>
              </w:rPr>
            </w:pPr>
            <w:r>
              <w:rPr>
                <w:rFonts w:ascii="Arial" w:cs="Arial" w:eastAsia="Arial" w:hAnsi="Arial"/>
                <w:sz w:val="20"/>
                <w:szCs w:val="20"/>
                <w:color w:val="auto"/>
                <w:w w:val="89"/>
              </w:rPr>
              <w:t>Nine Months Ended</w:t>
            </w:r>
          </w:p>
        </w:tc>
        <w:tc>
          <w:tcPr>
            <w:tcW w:w="0" w:type="dxa"/>
            <w:vAlign w:val="bottom"/>
          </w:tcPr>
          <w:p>
            <w:pPr>
              <w:spacing w:after="0"/>
              <w:rPr>
                <w:sz w:val="1"/>
                <w:szCs w:val="1"/>
                <w:color w:val="auto"/>
              </w:rPr>
            </w:pPr>
          </w:p>
        </w:tc>
      </w:tr>
      <w:tr>
        <w:trPr>
          <w:trHeight w:val="246"/>
        </w:trPr>
        <w:tc>
          <w:tcPr>
            <w:tcW w:w="56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840" w:type="dxa"/>
            <w:vAlign w:val="bottom"/>
            <w:gridSpan w:val="2"/>
          </w:tcPr>
          <w:p>
            <w:pPr>
              <w:jc w:val="center"/>
              <w:ind w:right="460"/>
              <w:spacing w:after="0"/>
              <w:rPr>
                <w:sz w:val="20"/>
                <w:szCs w:val="20"/>
                <w:color w:val="auto"/>
              </w:rPr>
            </w:pPr>
            <w:r>
              <w:rPr>
                <w:rFonts w:ascii="Arial" w:cs="Arial" w:eastAsia="Arial" w:hAnsi="Arial"/>
                <w:sz w:val="20"/>
                <w:szCs w:val="20"/>
                <w:color w:val="auto"/>
                <w:w w:val="86"/>
              </w:rPr>
              <w:t>September 30,</w:t>
            </w:r>
          </w:p>
        </w:tc>
        <w:tc>
          <w:tcPr>
            <w:tcW w:w="240" w:type="dxa"/>
            <w:vAlign w:val="bottom"/>
          </w:tcPr>
          <w:p>
            <w:pPr>
              <w:spacing w:after="0"/>
              <w:rPr>
                <w:sz w:val="21"/>
                <w:szCs w:val="21"/>
                <w:color w:val="auto"/>
              </w:rPr>
            </w:pPr>
          </w:p>
        </w:tc>
        <w:tc>
          <w:tcPr>
            <w:tcW w:w="1580" w:type="dxa"/>
            <w:vAlign w:val="bottom"/>
          </w:tcPr>
          <w:p>
            <w:pPr>
              <w:jc w:val="center"/>
              <w:ind w:right="141"/>
              <w:spacing w:after="0"/>
              <w:rPr>
                <w:sz w:val="20"/>
                <w:szCs w:val="20"/>
                <w:color w:val="auto"/>
              </w:rPr>
            </w:pPr>
            <w:r>
              <w:rPr>
                <w:rFonts w:ascii="Arial" w:cs="Arial" w:eastAsia="Arial" w:hAnsi="Arial"/>
                <w:sz w:val="20"/>
                <w:szCs w:val="20"/>
                <w:color w:val="auto"/>
                <w:w w:val="86"/>
              </w:rPr>
              <w:t>September 30,</w:t>
            </w:r>
          </w:p>
        </w:tc>
        <w:tc>
          <w:tcPr>
            <w:tcW w:w="0" w:type="dxa"/>
            <w:vAlign w:val="bottom"/>
          </w:tcPr>
          <w:p>
            <w:pPr>
              <w:spacing w:after="0"/>
              <w:rPr>
                <w:sz w:val="1"/>
                <w:szCs w:val="1"/>
                <w:color w:val="auto"/>
              </w:rPr>
            </w:pPr>
          </w:p>
        </w:tc>
      </w:tr>
      <w:tr>
        <w:trPr>
          <w:trHeight w:val="223"/>
        </w:trPr>
        <w:tc>
          <w:tcPr>
            <w:tcW w:w="5600" w:type="dxa"/>
            <w:vAlign w:val="bottom"/>
            <w:tcBorders>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660" w:type="dxa"/>
            <w:vAlign w:val="bottom"/>
            <w:tcBorders>
              <w:top w:val="single" w:sz="8" w:color="auto"/>
              <w:bottom w:val="single" w:sz="8" w:color="auto"/>
            </w:tcBorders>
          </w:tcPr>
          <w:p>
            <w:pPr>
              <w:jc w:val="center"/>
              <w:ind w:right="201"/>
              <w:spacing w:after="0" w:line="223" w:lineRule="exact"/>
              <w:rPr>
                <w:sz w:val="20"/>
                <w:szCs w:val="20"/>
                <w:color w:val="auto"/>
              </w:rPr>
            </w:pPr>
            <w:r>
              <w:rPr>
                <w:rFonts w:ascii="Arial" w:cs="Arial" w:eastAsia="Arial" w:hAnsi="Arial"/>
                <w:sz w:val="20"/>
                <w:szCs w:val="20"/>
                <w:color w:val="auto"/>
                <w:w w:val="89"/>
              </w:rPr>
              <w:t>2018</w:t>
            </w:r>
          </w:p>
        </w:tc>
        <w:tc>
          <w:tcPr>
            <w:tcW w:w="180" w:type="dxa"/>
            <w:vAlign w:val="bottom"/>
            <w:tcBorders>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1580" w:type="dxa"/>
            <w:vAlign w:val="bottom"/>
            <w:tcBorders>
              <w:top w:val="single" w:sz="8" w:color="auto"/>
              <w:bottom w:val="single" w:sz="8" w:color="auto"/>
            </w:tcBorders>
          </w:tcPr>
          <w:p>
            <w:pPr>
              <w:jc w:val="center"/>
              <w:ind w:right="141"/>
              <w:spacing w:after="0" w:line="223" w:lineRule="exact"/>
              <w:rPr>
                <w:sz w:val="20"/>
                <w:szCs w:val="20"/>
                <w:color w:val="auto"/>
              </w:rPr>
            </w:pPr>
            <w:r>
              <w:rPr>
                <w:rFonts w:ascii="Arial" w:cs="Arial" w:eastAsia="Arial" w:hAnsi="Arial"/>
                <w:sz w:val="20"/>
                <w:szCs w:val="20"/>
                <w:color w:val="auto"/>
                <w:w w:val="85"/>
              </w:rPr>
              <w:t>2018</w:t>
            </w:r>
          </w:p>
        </w:tc>
        <w:tc>
          <w:tcPr>
            <w:tcW w:w="0" w:type="dxa"/>
            <w:vAlign w:val="bottom"/>
          </w:tcPr>
          <w:p>
            <w:pPr>
              <w:spacing w:after="0"/>
              <w:rPr>
                <w:sz w:val="1"/>
                <w:szCs w:val="1"/>
                <w:color w:val="auto"/>
              </w:rPr>
            </w:pPr>
          </w:p>
        </w:tc>
      </w:tr>
      <w:tr>
        <w:trPr>
          <w:trHeight w:val="223"/>
        </w:trPr>
        <w:tc>
          <w:tcPr>
            <w:tcW w:w="5600" w:type="dxa"/>
            <w:vAlign w:val="bottom"/>
            <w:shd w:val="clear" w:color="auto" w:fill="CCEEFF"/>
          </w:tcPr>
          <w:p>
            <w:pPr>
              <w:spacing w:after="0" w:line="223" w:lineRule="exact"/>
              <w:rPr>
                <w:sz w:val="20"/>
                <w:szCs w:val="20"/>
                <w:color w:val="auto"/>
              </w:rPr>
            </w:pPr>
            <w:r>
              <w:rPr>
                <w:rFonts w:ascii="Arial" w:cs="Arial" w:eastAsia="Arial" w:hAnsi="Arial"/>
                <w:sz w:val="20"/>
                <w:szCs w:val="20"/>
                <w:color w:val="auto"/>
              </w:rPr>
              <w:t>Net gain recognized during the period on equity securities</w:t>
            </w:r>
          </w:p>
        </w:tc>
        <w:tc>
          <w:tcPr>
            <w:tcW w:w="280" w:type="dxa"/>
            <w:vAlign w:val="bottom"/>
            <w:shd w:val="clear" w:color="auto" w:fill="CCEEFF"/>
          </w:tcPr>
          <w:p>
            <w:pPr>
              <w:jc w:val="right"/>
              <w:ind w:right="21"/>
              <w:spacing w:after="0" w:line="223" w:lineRule="exact"/>
              <w:rPr>
                <w:sz w:val="20"/>
                <w:szCs w:val="20"/>
                <w:color w:val="auto"/>
              </w:rPr>
            </w:pPr>
            <w:r>
              <w:rPr>
                <w:rFonts w:ascii="Arial" w:cs="Arial" w:eastAsia="Arial" w:hAnsi="Arial"/>
                <w:sz w:val="20"/>
                <w:szCs w:val="20"/>
                <w:color w:val="auto"/>
              </w:rPr>
              <w:t>$</w:t>
            </w:r>
          </w:p>
        </w:tc>
        <w:tc>
          <w:tcPr>
            <w:tcW w:w="1660" w:type="dxa"/>
            <w:vAlign w:val="bottom"/>
            <w:shd w:val="clear" w:color="auto" w:fill="CCEEFF"/>
          </w:tcPr>
          <w:p>
            <w:pPr>
              <w:jc w:val="right"/>
              <w:spacing w:after="0" w:line="223" w:lineRule="exact"/>
              <w:rPr>
                <w:sz w:val="20"/>
                <w:szCs w:val="20"/>
                <w:color w:val="auto"/>
              </w:rPr>
            </w:pPr>
            <w:r>
              <w:rPr>
                <w:rFonts w:ascii="Arial" w:cs="Arial" w:eastAsia="Arial" w:hAnsi="Arial"/>
                <w:sz w:val="20"/>
                <w:szCs w:val="20"/>
                <w:color w:val="auto"/>
              </w:rPr>
              <w:t>62</w:t>
            </w:r>
          </w:p>
        </w:tc>
        <w:tc>
          <w:tcPr>
            <w:tcW w:w="18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21"/>
              <w:spacing w:after="0" w:line="223" w:lineRule="exact"/>
              <w:rPr>
                <w:sz w:val="20"/>
                <w:szCs w:val="20"/>
                <w:color w:val="auto"/>
              </w:rPr>
            </w:pPr>
            <w:r>
              <w:rPr>
                <w:rFonts w:ascii="Arial" w:cs="Arial" w:eastAsia="Arial" w:hAnsi="Arial"/>
                <w:sz w:val="20"/>
                <w:szCs w:val="20"/>
                <w:color w:val="auto"/>
                <w:w w:val="89"/>
              </w:rPr>
              <w:t>$</w:t>
            </w:r>
          </w:p>
        </w:tc>
        <w:tc>
          <w:tcPr>
            <w:tcW w:w="1580" w:type="dxa"/>
            <w:vAlign w:val="bottom"/>
            <w:shd w:val="clear" w:color="auto" w:fill="CCEEFF"/>
          </w:tcPr>
          <w:p>
            <w:pPr>
              <w:jc w:val="right"/>
              <w:spacing w:after="0" w:line="223" w:lineRule="exact"/>
              <w:rPr>
                <w:sz w:val="20"/>
                <w:szCs w:val="20"/>
                <w:color w:val="auto"/>
              </w:rPr>
            </w:pPr>
            <w:r>
              <w:rPr>
                <w:rFonts w:ascii="Arial" w:cs="Arial" w:eastAsia="Arial" w:hAnsi="Arial"/>
                <w:sz w:val="20"/>
                <w:szCs w:val="20"/>
                <w:color w:val="auto"/>
              </w:rPr>
              <w:t>60</w:t>
            </w:r>
          </w:p>
        </w:tc>
        <w:tc>
          <w:tcPr>
            <w:tcW w:w="0" w:type="dxa"/>
            <w:vAlign w:val="bottom"/>
          </w:tcPr>
          <w:p>
            <w:pPr>
              <w:spacing w:after="0"/>
              <w:rPr>
                <w:sz w:val="1"/>
                <w:szCs w:val="1"/>
                <w:color w:val="auto"/>
              </w:rPr>
            </w:pPr>
          </w:p>
        </w:tc>
      </w:tr>
      <w:tr>
        <w:trPr>
          <w:trHeight w:val="213"/>
        </w:trPr>
        <w:tc>
          <w:tcPr>
            <w:tcW w:w="5600" w:type="dxa"/>
            <w:vAlign w:val="bottom"/>
          </w:tcPr>
          <w:p>
            <w:pPr>
              <w:spacing w:after="0" w:line="213" w:lineRule="exact"/>
              <w:rPr>
                <w:sz w:val="20"/>
                <w:szCs w:val="20"/>
                <w:color w:val="auto"/>
              </w:rPr>
            </w:pPr>
            <w:r>
              <w:rPr>
                <w:rFonts w:ascii="Arial" w:cs="Arial" w:eastAsia="Arial" w:hAnsi="Arial"/>
                <w:sz w:val="20"/>
                <w:szCs w:val="20"/>
                <w:color w:val="auto"/>
              </w:rPr>
              <w:t>Less: net gain / loss recognized during the period on equity</w:t>
            </w:r>
          </w:p>
        </w:tc>
        <w:tc>
          <w:tcPr>
            <w:tcW w:w="2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6"/>
        </w:trPr>
        <w:tc>
          <w:tcPr>
            <w:tcW w:w="5600" w:type="dxa"/>
            <w:vAlign w:val="bottom"/>
          </w:tcPr>
          <w:p>
            <w:pPr>
              <w:spacing w:after="0"/>
              <w:rPr>
                <w:sz w:val="20"/>
                <w:szCs w:val="20"/>
                <w:color w:val="auto"/>
              </w:rPr>
            </w:pPr>
            <w:r>
              <w:rPr>
                <w:rFonts w:ascii="Arial" w:cs="Arial" w:eastAsia="Arial" w:hAnsi="Arial"/>
                <w:sz w:val="20"/>
                <w:szCs w:val="20"/>
                <w:color w:val="auto"/>
              </w:rPr>
              <w:t>securities sold during the period</w:t>
            </w:r>
          </w:p>
        </w:tc>
        <w:tc>
          <w:tcPr>
            <w:tcW w:w="280" w:type="dxa"/>
            <w:vAlign w:val="bottom"/>
          </w:tcPr>
          <w:p>
            <w:pPr>
              <w:spacing w:after="0"/>
              <w:rPr>
                <w:sz w:val="21"/>
                <w:szCs w:val="21"/>
                <w:color w:val="auto"/>
              </w:rPr>
            </w:pPr>
          </w:p>
        </w:tc>
        <w:tc>
          <w:tcPr>
            <w:tcW w:w="1840" w:type="dxa"/>
            <w:vAlign w:val="bottom"/>
            <w:gridSpan w:val="2"/>
          </w:tcPr>
          <w:p>
            <w:pPr>
              <w:jc w:val="right"/>
              <w:ind w:right="180"/>
              <w:spacing w:after="0"/>
              <w:rPr>
                <w:sz w:val="20"/>
                <w:szCs w:val="20"/>
                <w:color w:val="auto"/>
              </w:rPr>
            </w:pPr>
            <w:r>
              <w:rPr>
                <w:rFonts w:ascii="Arial" w:cs="Arial" w:eastAsia="Arial" w:hAnsi="Arial"/>
                <w:sz w:val="20"/>
                <w:szCs w:val="20"/>
                <w:color w:val="auto"/>
              </w:rPr>
              <w:t>-</w:t>
            </w:r>
          </w:p>
        </w:tc>
        <w:tc>
          <w:tcPr>
            <w:tcW w:w="24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193"/>
        </w:trPr>
        <w:tc>
          <w:tcPr>
            <w:tcW w:w="5600" w:type="dxa"/>
            <w:vAlign w:val="bottom"/>
            <w:tcBorders>
              <w:top w:val="single" w:sz="8" w:color="CCEEFF"/>
            </w:tcBorders>
            <w:shd w:val="clear" w:color="auto" w:fill="CCEEFF"/>
          </w:tcPr>
          <w:p>
            <w:pPr>
              <w:spacing w:after="0" w:line="193" w:lineRule="exact"/>
              <w:rPr>
                <w:sz w:val="20"/>
                <w:szCs w:val="20"/>
                <w:color w:val="auto"/>
              </w:rPr>
            </w:pPr>
            <w:r>
              <w:rPr>
                <w:rFonts w:ascii="Arial" w:cs="Arial" w:eastAsia="Arial" w:hAnsi="Arial"/>
                <w:sz w:val="20"/>
                <w:szCs w:val="20"/>
                <w:color w:val="auto"/>
                <w:w w:val="98"/>
              </w:rPr>
              <w:t>Unrealized gain recognized during the reporting period on equity</w:t>
            </w:r>
          </w:p>
        </w:tc>
        <w:tc>
          <w:tcPr>
            <w:tcW w:w="280" w:type="dxa"/>
            <w:vAlign w:val="bottom"/>
            <w:tcBorders>
              <w:top w:val="single" w:sz="8" w:color="auto"/>
            </w:tcBorders>
            <w:vMerge w:val="restart"/>
            <w:shd w:val="clear" w:color="auto" w:fill="CCEEFF"/>
          </w:tcPr>
          <w:p>
            <w:pPr>
              <w:jc w:val="right"/>
              <w:ind w:right="21"/>
              <w:spacing w:after="0"/>
              <w:rPr>
                <w:sz w:val="20"/>
                <w:szCs w:val="20"/>
                <w:color w:val="auto"/>
              </w:rPr>
            </w:pPr>
            <w:r>
              <w:rPr>
                <w:rFonts w:ascii="Arial" w:cs="Arial" w:eastAsia="Arial" w:hAnsi="Arial"/>
                <w:sz w:val="20"/>
                <w:szCs w:val="20"/>
                <w:color w:val="auto"/>
              </w:rPr>
              <w:t>$</w:t>
            </w:r>
          </w:p>
        </w:tc>
        <w:tc>
          <w:tcPr>
            <w:tcW w:w="16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20"/>
                <w:szCs w:val="20"/>
                <w:color w:val="auto"/>
              </w:rPr>
              <w:t>62</w:t>
            </w:r>
          </w:p>
        </w:tc>
        <w:tc>
          <w:tcPr>
            <w:tcW w:w="18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vMerge w:val="restart"/>
            <w:shd w:val="clear" w:color="auto" w:fill="CCEEFF"/>
          </w:tcPr>
          <w:p>
            <w:pPr>
              <w:jc w:val="right"/>
              <w:ind w:right="21"/>
              <w:spacing w:after="0"/>
              <w:rPr>
                <w:sz w:val="20"/>
                <w:szCs w:val="20"/>
                <w:color w:val="auto"/>
              </w:rPr>
            </w:pPr>
            <w:r>
              <w:rPr>
                <w:rFonts w:ascii="Arial" w:cs="Arial" w:eastAsia="Arial" w:hAnsi="Arial"/>
                <w:sz w:val="20"/>
                <w:szCs w:val="20"/>
                <w:color w:val="auto"/>
                <w:w w:val="89"/>
              </w:rPr>
              <w:t>$</w:t>
            </w:r>
          </w:p>
        </w:tc>
        <w:tc>
          <w:tcPr>
            <w:tcW w:w="15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20"/>
                <w:szCs w:val="20"/>
                <w:color w:val="auto"/>
              </w:rPr>
              <w:t>60</w:t>
            </w:r>
          </w:p>
        </w:tc>
        <w:tc>
          <w:tcPr>
            <w:tcW w:w="0" w:type="dxa"/>
            <w:vAlign w:val="bottom"/>
          </w:tcPr>
          <w:p>
            <w:pPr>
              <w:spacing w:after="0"/>
              <w:rPr>
                <w:sz w:val="1"/>
                <w:szCs w:val="1"/>
                <w:color w:val="auto"/>
              </w:rPr>
            </w:pPr>
          </w:p>
        </w:tc>
      </w:tr>
      <w:tr>
        <w:trPr>
          <w:trHeight w:val="240"/>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20"/>
                <w:szCs w:val="20"/>
                <w:color w:val="auto"/>
              </w:rPr>
              <w:t>securities still held at the reporting date</w:t>
            </w:r>
          </w:p>
        </w:tc>
        <w:tc>
          <w:tcPr>
            <w:tcW w:w="280" w:type="dxa"/>
            <w:vAlign w:val="bottom"/>
            <w:tcBorders>
              <w:bottom w:val="single" w:sz="8" w:color="auto"/>
            </w:tcBorders>
            <w:vMerge w:val="continue"/>
            <w:shd w:val="clear" w:color="auto" w:fill="CCEEFF"/>
          </w:tcPr>
          <w:p>
            <w:pPr>
              <w:spacing w:after="0"/>
              <w:rPr>
                <w:sz w:val="20"/>
                <w:szCs w:val="20"/>
                <w:color w:val="auto"/>
              </w:rPr>
            </w:pPr>
          </w:p>
        </w:tc>
        <w:tc>
          <w:tcPr>
            <w:tcW w:w="1660" w:type="dxa"/>
            <w:vAlign w:val="bottom"/>
            <w:tcBorders>
              <w:bottom w:val="single" w:sz="8" w:color="auto"/>
            </w:tcBorders>
            <w:vMerge w:val="continue"/>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vMerge w:val="continue"/>
            <w:shd w:val="clear" w:color="auto" w:fill="CCEEFF"/>
          </w:tcPr>
          <w:p>
            <w:pPr>
              <w:spacing w:after="0"/>
              <w:rPr>
                <w:sz w:val="20"/>
                <w:szCs w:val="20"/>
                <w:color w:val="auto"/>
              </w:rPr>
            </w:pPr>
          </w:p>
        </w:tc>
        <w:tc>
          <w:tcPr>
            <w:tcW w:w="158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bl>
    <w:p>
      <w:pPr>
        <w:spacing w:after="0" w:line="222" w:lineRule="exact"/>
        <w:rPr>
          <w:sz w:val="20"/>
          <w:szCs w:val="20"/>
          <w:color w:val="auto"/>
        </w:rPr>
      </w:pPr>
    </w:p>
    <w:p>
      <w:pPr>
        <w:ind w:right="120"/>
        <w:spacing w:after="0" w:line="297" w:lineRule="auto"/>
        <w:rPr>
          <w:sz w:val="20"/>
          <w:szCs w:val="20"/>
          <w:color w:val="auto"/>
        </w:rPr>
      </w:pPr>
      <w:r>
        <w:rPr>
          <w:rFonts w:ascii="Arial" w:cs="Arial" w:eastAsia="Arial" w:hAnsi="Arial"/>
          <w:sz w:val="19"/>
          <w:szCs w:val="19"/>
          <w:color w:val="auto"/>
        </w:rPr>
        <w:t>The net gain recognized on equity securities is presented on the consolidated statements of net income on the line item “Other.” Additionally, the unrealized gain recognized during the three and nine months ended September 30, 2017, was reported on the consolidated statements of comprehensive income.</w:t>
      </w:r>
    </w:p>
    <w:p>
      <w:pPr>
        <w:spacing w:after="0" w:line="161" w:lineRule="exact"/>
        <w:rPr>
          <w:sz w:val="20"/>
          <w:szCs w:val="20"/>
          <w:color w:val="auto"/>
        </w:rPr>
      </w:pPr>
    </w:p>
    <w:p>
      <w:pPr>
        <w:spacing w:after="0"/>
        <w:rPr>
          <w:sz w:val="20"/>
          <w:szCs w:val="20"/>
          <w:color w:val="auto"/>
        </w:rPr>
      </w:pPr>
      <w:r>
        <w:rPr>
          <w:rFonts w:ascii="Arial" w:cs="Arial" w:eastAsia="Arial" w:hAnsi="Arial"/>
          <w:sz w:val="22"/>
          <w:szCs w:val="22"/>
          <w:color w:val="auto"/>
        </w:rPr>
        <w:t>The carrying amounts and estimated fair values of the Company’s long-term debt is as follows:</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40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480" w:type="dxa"/>
            <w:vAlign w:val="bottom"/>
            <w:gridSpan w:val="2"/>
          </w:tcPr>
          <w:p>
            <w:pPr>
              <w:ind w:left="240"/>
              <w:spacing w:after="0"/>
              <w:rPr>
                <w:sz w:val="20"/>
                <w:szCs w:val="20"/>
                <w:color w:val="auto"/>
              </w:rPr>
            </w:pPr>
            <w:r>
              <w:rPr>
                <w:rFonts w:ascii="Arial" w:cs="Arial" w:eastAsia="Arial" w:hAnsi="Arial"/>
                <w:sz w:val="22"/>
                <w:szCs w:val="22"/>
                <w:color w:val="auto"/>
              </w:rPr>
              <w:t>September 30,</w:t>
            </w:r>
          </w:p>
        </w:tc>
        <w:tc>
          <w:tcPr>
            <w:tcW w:w="440" w:type="dxa"/>
            <w:vAlign w:val="bottom"/>
          </w:tcPr>
          <w:p>
            <w:pPr>
              <w:spacing w:after="0"/>
              <w:rPr>
                <w:sz w:val="21"/>
                <w:szCs w:val="21"/>
                <w:color w:val="auto"/>
              </w:rPr>
            </w:pPr>
          </w:p>
        </w:tc>
        <w:tc>
          <w:tcPr>
            <w:tcW w:w="2100" w:type="dxa"/>
            <w:vAlign w:val="bottom"/>
          </w:tcPr>
          <w:p>
            <w:pPr>
              <w:jc w:val="right"/>
              <w:ind w:right="552"/>
              <w:spacing w:after="0"/>
              <w:rPr>
                <w:sz w:val="20"/>
                <w:szCs w:val="20"/>
                <w:color w:val="auto"/>
              </w:rPr>
            </w:pPr>
            <w:r>
              <w:rPr>
                <w:rFonts w:ascii="Arial" w:cs="Arial" w:eastAsia="Arial" w:hAnsi="Arial"/>
                <w:sz w:val="22"/>
                <w:szCs w:val="22"/>
                <w:color w:val="auto"/>
              </w:rPr>
              <w:t>December 31,</w:t>
            </w:r>
          </w:p>
        </w:tc>
      </w:tr>
      <w:tr>
        <w:trPr>
          <w:trHeight w:val="265"/>
        </w:trPr>
        <w:tc>
          <w:tcPr>
            <w:tcW w:w="4080" w:type="dxa"/>
            <w:vAlign w:val="bottom"/>
            <w:tcBorders>
              <w:bottom w:val="single" w:sz="8" w:color="CCEEFF"/>
            </w:tcBorders>
          </w:tcPr>
          <w:p>
            <w:pPr>
              <w:spacing w:after="0"/>
              <w:rPr>
                <w:sz w:val="23"/>
                <w:szCs w:val="23"/>
                <w:color w:val="auto"/>
              </w:rPr>
            </w:pPr>
          </w:p>
        </w:tc>
        <w:tc>
          <w:tcPr>
            <w:tcW w:w="440" w:type="dxa"/>
            <w:vAlign w:val="bottom"/>
            <w:tcBorders>
              <w:bottom w:val="single" w:sz="8" w:color="auto"/>
            </w:tcBorders>
          </w:tcPr>
          <w:p>
            <w:pPr>
              <w:spacing w:after="0"/>
              <w:rPr>
                <w:sz w:val="23"/>
                <w:szCs w:val="23"/>
                <w:color w:val="auto"/>
              </w:rPr>
            </w:pPr>
          </w:p>
        </w:tc>
        <w:tc>
          <w:tcPr>
            <w:tcW w:w="2160" w:type="dxa"/>
            <w:vAlign w:val="bottom"/>
            <w:tcBorders>
              <w:bottom w:val="single" w:sz="8" w:color="auto"/>
            </w:tcBorders>
          </w:tcPr>
          <w:p>
            <w:pPr>
              <w:jc w:val="right"/>
              <w:ind w:right="972"/>
              <w:spacing w:after="0"/>
              <w:rPr>
                <w:sz w:val="20"/>
                <w:szCs w:val="20"/>
                <w:color w:val="auto"/>
              </w:rPr>
            </w:pPr>
            <w:r>
              <w:rPr>
                <w:rFonts w:ascii="Arial" w:cs="Arial" w:eastAsia="Arial" w:hAnsi="Arial"/>
                <w:sz w:val="22"/>
                <w:szCs w:val="22"/>
                <w:color w:val="auto"/>
              </w:rPr>
              <w:t>2018</w:t>
            </w:r>
          </w:p>
        </w:tc>
        <w:tc>
          <w:tcPr>
            <w:tcW w:w="320" w:type="dxa"/>
            <w:vAlign w:val="bottom"/>
            <w:tcBorders>
              <w:bottom w:val="single" w:sz="8" w:color="CCEEFF"/>
            </w:tcBorders>
          </w:tcPr>
          <w:p>
            <w:pPr>
              <w:spacing w:after="0"/>
              <w:rPr>
                <w:sz w:val="23"/>
                <w:szCs w:val="23"/>
                <w:color w:val="auto"/>
              </w:rPr>
            </w:pPr>
          </w:p>
        </w:tc>
        <w:tc>
          <w:tcPr>
            <w:tcW w:w="440" w:type="dxa"/>
            <w:vAlign w:val="bottom"/>
            <w:tcBorders>
              <w:bottom w:val="single" w:sz="8" w:color="auto"/>
            </w:tcBorders>
          </w:tcPr>
          <w:p>
            <w:pPr>
              <w:spacing w:after="0"/>
              <w:rPr>
                <w:sz w:val="23"/>
                <w:szCs w:val="23"/>
                <w:color w:val="auto"/>
              </w:rPr>
            </w:pPr>
          </w:p>
        </w:tc>
        <w:tc>
          <w:tcPr>
            <w:tcW w:w="2100" w:type="dxa"/>
            <w:vAlign w:val="bottom"/>
            <w:tcBorders>
              <w:bottom w:val="single" w:sz="8" w:color="auto"/>
            </w:tcBorders>
          </w:tcPr>
          <w:p>
            <w:pPr>
              <w:jc w:val="right"/>
              <w:ind w:right="952"/>
              <w:spacing w:after="0"/>
              <w:rPr>
                <w:sz w:val="20"/>
                <w:szCs w:val="20"/>
                <w:color w:val="auto"/>
              </w:rPr>
            </w:pPr>
            <w:r>
              <w:rPr>
                <w:rFonts w:ascii="Arial" w:cs="Arial" w:eastAsia="Arial" w:hAnsi="Arial"/>
                <w:sz w:val="22"/>
                <w:szCs w:val="22"/>
                <w:color w:val="auto"/>
              </w:rPr>
              <w:t>2017</w:t>
            </w:r>
          </w:p>
        </w:tc>
      </w:tr>
      <w:tr>
        <w:trPr>
          <w:trHeight w:val="237"/>
        </w:trPr>
        <w:tc>
          <w:tcPr>
            <w:tcW w:w="4080" w:type="dxa"/>
            <w:vAlign w:val="bottom"/>
            <w:shd w:val="clear" w:color="auto" w:fill="CCEEFF"/>
          </w:tcPr>
          <w:p>
            <w:pPr>
              <w:spacing w:after="0" w:line="237" w:lineRule="exact"/>
              <w:rPr>
                <w:sz w:val="20"/>
                <w:szCs w:val="20"/>
                <w:color w:val="auto"/>
              </w:rPr>
            </w:pPr>
            <w:r>
              <w:rPr>
                <w:rFonts w:ascii="Arial" w:cs="Arial" w:eastAsia="Arial" w:hAnsi="Arial"/>
                <w:sz w:val="22"/>
                <w:szCs w:val="22"/>
                <w:color w:val="auto"/>
              </w:rPr>
              <w:t>Carrying amount</w:t>
            </w:r>
          </w:p>
        </w:tc>
        <w:tc>
          <w:tcPr>
            <w:tcW w:w="440" w:type="dxa"/>
            <w:vAlign w:val="bottom"/>
            <w:shd w:val="clear" w:color="auto" w:fill="CCEEFF"/>
          </w:tcPr>
          <w:p>
            <w:pPr>
              <w:jc w:val="right"/>
              <w:ind w:right="112"/>
              <w:spacing w:after="0" w:line="237" w:lineRule="exact"/>
              <w:rPr>
                <w:sz w:val="20"/>
                <w:szCs w:val="20"/>
                <w:color w:val="auto"/>
              </w:rPr>
            </w:pPr>
            <w:r>
              <w:rPr>
                <w:rFonts w:ascii="Arial" w:cs="Arial" w:eastAsia="Arial" w:hAnsi="Arial"/>
                <w:sz w:val="22"/>
                <w:szCs w:val="22"/>
                <w:color w:val="auto"/>
              </w:rPr>
              <w:t>$</w:t>
            </w:r>
          </w:p>
        </w:tc>
        <w:tc>
          <w:tcPr>
            <w:tcW w:w="2160" w:type="dxa"/>
            <w:vAlign w:val="bottom"/>
            <w:shd w:val="clear" w:color="auto" w:fill="CCEEFF"/>
          </w:tcPr>
          <w:p>
            <w:pPr>
              <w:jc w:val="right"/>
              <w:spacing w:after="0" w:line="237" w:lineRule="exact"/>
              <w:rPr>
                <w:sz w:val="20"/>
                <w:szCs w:val="20"/>
                <w:color w:val="auto"/>
              </w:rPr>
            </w:pPr>
            <w:r>
              <w:rPr>
                <w:rFonts w:ascii="Arial" w:cs="Arial" w:eastAsia="Arial" w:hAnsi="Arial"/>
                <w:sz w:val="22"/>
                <w:szCs w:val="22"/>
                <w:color w:val="auto"/>
              </w:rPr>
              <w:t>2,395,224</w:t>
            </w:r>
          </w:p>
        </w:tc>
        <w:tc>
          <w:tcPr>
            <w:tcW w:w="320" w:type="dxa"/>
            <w:vAlign w:val="bottom"/>
            <w:shd w:val="clear" w:color="auto" w:fill="CCEEFF"/>
          </w:tcPr>
          <w:p>
            <w:pPr>
              <w:spacing w:after="0"/>
              <w:rPr>
                <w:sz w:val="20"/>
                <w:szCs w:val="20"/>
                <w:color w:val="auto"/>
              </w:rPr>
            </w:pPr>
          </w:p>
        </w:tc>
        <w:tc>
          <w:tcPr>
            <w:tcW w:w="440" w:type="dxa"/>
            <w:vAlign w:val="bottom"/>
            <w:shd w:val="clear" w:color="auto" w:fill="CCEEFF"/>
          </w:tcPr>
          <w:p>
            <w:pPr>
              <w:jc w:val="right"/>
              <w:ind w:right="112"/>
              <w:spacing w:after="0" w:line="237" w:lineRule="exact"/>
              <w:rPr>
                <w:sz w:val="20"/>
                <w:szCs w:val="20"/>
                <w:color w:val="auto"/>
              </w:rPr>
            </w:pPr>
            <w:r>
              <w:rPr>
                <w:rFonts w:ascii="Arial" w:cs="Arial" w:eastAsia="Arial" w:hAnsi="Arial"/>
                <w:sz w:val="22"/>
                <w:szCs w:val="22"/>
                <w:color w:val="auto"/>
              </w:rPr>
              <w:t>$</w:t>
            </w:r>
          </w:p>
        </w:tc>
        <w:tc>
          <w:tcPr>
            <w:tcW w:w="2100" w:type="dxa"/>
            <w:vAlign w:val="bottom"/>
            <w:shd w:val="clear" w:color="auto" w:fill="CCEEFF"/>
          </w:tcPr>
          <w:p>
            <w:pPr>
              <w:jc w:val="right"/>
              <w:spacing w:after="0" w:line="237" w:lineRule="exact"/>
              <w:rPr>
                <w:sz w:val="20"/>
                <w:szCs w:val="20"/>
                <w:color w:val="auto"/>
              </w:rPr>
            </w:pPr>
            <w:r>
              <w:rPr>
                <w:rFonts w:ascii="Arial" w:cs="Arial" w:eastAsia="Arial" w:hAnsi="Arial"/>
                <w:sz w:val="22"/>
                <w:szCs w:val="22"/>
                <w:color w:val="auto"/>
              </w:rPr>
              <w:t>2,143,127</w:t>
            </w:r>
          </w:p>
        </w:tc>
      </w:tr>
      <w:tr>
        <w:trPr>
          <w:trHeight w:val="275"/>
        </w:trPr>
        <w:tc>
          <w:tcPr>
            <w:tcW w:w="4080" w:type="dxa"/>
            <w:vAlign w:val="bottom"/>
          </w:tcPr>
          <w:p>
            <w:pPr>
              <w:spacing w:after="0"/>
              <w:rPr>
                <w:sz w:val="20"/>
                <w:szCs w:val="20"/>
                <w:color w:val="auto"/>
              </w:rPr>
            </w:pPr>
            <w:r>
              <w:rPr>
                <w:rFonts w:ascii="Arial" w:cs="Arial" w:eastAsia="Arial" w:hAnsi="Arial"/>
                <w:sz w:val="22"/>
                <w:szCs w:val="22"/>
                <w:color w:val="auto"/>
              </w:rPr>
              <w:t>Estimated fair value</w:t>
            </w:r>
          </w:p>
        </w:tc>
        <w:tc>
          <w:tcPr>
            <w:tcW w:w="440" w:type="dxa"/>
            <w:vAlign w:val="bottom"/>
          </w:tcPr>
          <w:p>
            <w:pPr>
              <w:spacing w:after="0"/>
              <w:rPr>
                <w:sz w:val="23"/>
                <w:szCs w:val="23"/>
                <w:color w:val="auto"/>
              </w:rPr>
            </w:pPr>
          </w:p>
        </w:tc>
        <w:tc>
          <w:tcPr>
            <w:tcW w:w="2160" w:type="dxa"/>
            <w:vAlign w:val="bottom"/>
          </w:tcPr>
          <w:p>
            <w:pPr>
              <w:jc w:val="right"/>
              <w:spacing w:after="0"/>
              <w:rPr>
                <w:sz w:val="20"/>
                <w:szCs w:val="20"/>
                <w:color w:val="auto"/>
              </w:rPr>
            </w:pPr>
            <w:r>
              <w:rPr>
                <w:rFonts w:ascii="Arial" w:cs="Arial" w:eastAsia="Arial" w:hAnsi="Arial"/>
                <w:sz w:val="22"/>
                <w:szCs w:val="22"/>
                <w:color w:val="auto"/>
              </w:rPr>
              <w:t>2,388,288</w:t>
            </w:r>
          </w:p>
        </w:tc>
        <w:tc>
          <w:tcPr>
            <w:tcW w:w="3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2100" w:type="dxa"/>
            <w:vAlign w:val="bottom"/>
          </w:tcPr>
          <w:p>
            <w:pPr>
              <w:jc w:val="right"/>
              <w:spacing w:after="0"/>
              <w:rPr>
                <w:sz w:val="20"/>
                <w:szCs w:val="20"/>
                <w:color w:val="auto"/>
              </w:rPr>
            </w:pPr>
            <w:r>
              <w:rPr>
                <w:rFonts w:ascii="Arial" w:cs="Arial" w:eastAsia="Arial" w:hAnsi="Arial"/>
                <w:sz w:val="22"/>
                <w:szCs w:val="22"/>
                <w:color w:val="auto"/>
              </w:rPr>
              <w:t>2,262,785</w:t>
            </w:r>
          </w:p>
        </w:tc>
      </w:tr>
    </w:tbl>
    <w:p>
      <w:pPr>
        <w:spacing w:after="0" w:line="204" w:lineRule="exact"/>
        <w:rPr>
          <w:sz w:val="20"/>
          <w:szCs w:val="20"/>
          <w:color w:val="auto"/>
        </w:rPr>
      </w:pPr>
    </w:p>
    <w:p>
      <w:pPr>
        <w:jc w:val="both"/>
        <w:ind w:right="500"/>
        <w:spacing w:after="0"/>
        <w:rPr>
          <w:sz w:val="20"/>
          <w:szCs w:val="20"/>
          <w:color w:val="auto"/>
        </w:rPr>
      </w:pPr>
      <w:r>
        <w:rPr>
          <w:rFonts w:ascii="Arial" w:cs="Arial" w:eastAsia="Arial" w:hAnsi="Arial"/>
          <w:sz w:val="22"/>
          <w:szCs w:val="22"/>
          <w:color w:val="auto"/>
        </w:rPr>
        <w:t>The fair value of long-term debt has been determined by discounting the future cash flows using current market interest rates for similar financial instruments of the same duration utilizing Level 2 methods and assumptions.</w:t>
      </w:r>
    </w:p>
    <w:p>
      <w:pPr>
        <w:spacing w:after="0" w:line="213" w:lineRule="exact"/>
        <w:rPr>
          <w:sz w:val="20"/>
          <w:szCs w:val="20"/>
          <w:color w:val="auto"/>
        </w:rPr>
      </w:pPr>
    </w:p>
    <w:p>
      <w:pPr>
        <w:ind w:right="100"/>
        <w:spacing w:after="0" w:line="282" w:lineRule="auto"/>
        <w:rPr>
          <w:sz w:val="20"/>
          <w:szCs w:val="20"/>
          <w:color w:val="auto"/>
        </w:rPr>
      </w:pPr>
      <w:r>
        <w:rPr>
          <w:rFonts w:ascii="Arial" w:cs="Arial" w:eastAsia="Arial" w:hAnsi="Arial"/>
          <w:sz w:val="19"/>
          <w:szCs w:val="19"/>
          <w:color w:val="auto"/>
        </w:rPr>
        <w:t>The Company’s customers’ advances for construction have a carrying value of $94,112 as of September 30, 2018, and $93,186 as of December 31, 2017. Their relative fair values cannot be accurately estimated because future refund payments depend on several variables, including new customer connections, customer consumption levels, and future rates. Portions of these non-interest bearing instruments are payable annually through 2028 and amounts not paid by the respective contract</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63500</wp:posOffset>
            </wp:positionV>
            <wp:extent cx="6114415" cy="514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114415" cy="51435"/>
                    </a:xfrm>
                    <a:prstGeom prst="rect">
                      <a:avLst/>
                    </a:prstGeom>
                    <a:noFill/>
                  </pic:spPr>
                </pic:pic>
              </a:graphicData>
            </a:graphic>
          </wp:anchor>
        </w:drawing>
      </w:r>
    </w:p>
    <w:p>
      <w:pPr>
        <w:sectPr>
          <w:pgSz w:w="11900" w:h="16838" w:orient="portrait"/>
          <w:cols w:equalWidth="0" w:num="1">
            <w:col w:w="9540"/>
          </w:cols>
          <w:pgMar w:left="1220" w:top="118" w:right="1139" w:bottom="1440" w:gutter="0" w:footer="0" w:header="0"/>
        </w:sectPr>
      </w:pPr>
    </w:p>
    <w:bookmarkStart w:id="18" w:name="page19"/>
    <w:bookmarkEnd w:id="18"/>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AQUA AMERICA, INC. AND SUBSIDIARIES NOTES TO CONSOLIDATED FINANCIAL STATEMENTS (continued) (In thousands of dollars, except per share amounts) (UNAUDITED)</w:t>
      </w:r>
    </w:p>
    <w:p>
      <w:pPr>
        <w:spacing w:after="0" w:line="200" w:lineRule="exact"/>
        <w:rPr>
          <w:sz w:val="20"/>
          <w:szCs w:val="20"/>
          <w:color w:val="auto"/>
        </w:rPr>
      </w:pPr>
    </w:p>
    <w:p>
      <w:pPr>
        <w:spacing w:after="0" w:line="239" w:lineRule="exact"/>
        <w:rPr>
          <w:sz w:val="20"/>
          <w:szCs w:val="20"/>
          <w:color w:val="auto"/>
        </w:rPr>
      </w:pPr>
    </w:p>
    <w:p>
      <w:pPr>
        <w:ind w:right="180"/>
        <w:spacing w:after="0" w:line="251" w:lineRule="auto"/>
        <w:rPr>
          <w:sz w:val="20"/>
          <w:szCs w:val="20"/>
          <w:color w:val="auto"/>
        </w:rPr>
      </w:pPr>
      <w:r>
        <w:rPr>
          <w:rFonts w:ascii="Arial" w:cs="Arial" w:eastAsia="Arial" w:hAnsi="Arial"/>
          <w:sz w:val="22"/>
          <w:szCs w:val="22"/>
          <w:color w:val="auto"/>
        </w:rPr>
        <w:t>expiration dates become non-refundable. The fair value of these amounts would, however, be less than their carrying value due to the non-interest bearing feature.</w:t>
      </w:r>
    </w:p>
    <w:p>
      <w:pPr>
        <w:spacing w:after="0" w:line="19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Note 8 – </w:t>
      </w:r>
      <w:r>
        <w:rPr>
          <w:rFonts w:ascii="Arial" w:cs="Arial" w:eastAsia="Arial" w:hAnsi="Arial"/>
          <w:sz w:val="22"/>
          <w:szCs w:val="22"/>
          <w:b w:val="1"/>
          <w:bCs w:val="1"/>
          <w:i w:val="1"/>
          <w:iCs w:val="1"/>
          <w:color w:val="auto"/>
        </w:rPr>
        <w:t>Net Income per Common Share</w:t>
      </w:r>
    </w:p>
    <w:p>
      <w:pPr>
        <w:spacing w:after="0" w:line="239" w:lineRule="exact"/>
        <w:rPr>
          <w:sz w:val="20"/>
          <w:szCs w:val="20"/>
          <w:color w:val="auto"/>
        </w:rPr>
      </w:pPr>
    </w:p>
    <w:p>
      <w:pPr>
        <w:ind w:right="80"/>
        <w:spacing w:after="0" w:line="275" w:lineRule="auto"/>
        <w:rPr>
          <w:sz w:val="20"/>
          <w:szCs w:val="20"/>
          <w:color w:val="auto"/>
        </w:rPr>
      </w:pPr>
      <w:r>
        <w:rPr>
          <w:rFonts w:ascii="Arial" w:cs="Arial" w:eastAsia="Arial" w:hAnsi="Arial"/>
          <w:sz w:val="19"/>
          <w:szCs w:val="19"/>
          <w:color w:val="auto"/>
        </w:rPr>
        <w:t>Basic net income per common share is based on the weighted average number of common shares outstanding. Diluted net income per common share is based on the weighted average number of common shares outstanding and potentially dilutive shares. The dilutive effect of employee stock-based compensation is included in the computation of diluted net income per common share. The dilutive effect of stock-based compensation is calculated using the treasury stock method and expected proceeds upon exercise or issuance of the stock-based compensation. The treasury stock method assumes that the proceeds from stock-based compensation are used to purchase the Company’s common stock at the average market price during the period. The following table summarizes the shares, in thousands, used in computing basic and diluted net income per common share:</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5100" w:type="dxa"/>
            <w:vAlign w:val="bottom"/>
          </w:tcPr>
          <w:p>
            <w:pPr>
              <w:spacing w:after="0"/>
              <w:rPr>
                <w:sz w:val="21"/>
                <w:szCs w:val="21"/>
                <w:color w:val="auto"/>
              </w:rPr>
            </w:pPr>
          </w:p>
        </w:tc>
        <w:tc>
          <w:tcPr>
            <w:tcW w:w="2320" w:type="dxa"/>
            <w:vAlign w:val="bottom"/>
            <w:gridSpan w:val="4"/>
          </w:tcPr>
          <w:p>
            <w:pPr>
              <w:jc w:val="center"/>
              <w:ind w:right="180"/>
              <w:spacing w:after="0"/>
              <w:rPr>
                <w:sz w:val="20"/>
                <w:szCs w:val="20"/>
                <w:color w:val="auto"/>
              </w:rPr>
            </w:pPr>
            <w:r>
              <w:rPr>
                <w:rFonts w:ascii="Arial" w:cs="Arial" w:eastAsia="Arial" w:hAnsi="Arial"/>
                <w:sz w:val="22"/>
                <w:szCs w:val="22"/>
                <w:color w:val="auto"/>
                <w:w w:val="88"/>
              </w:rPr>
              <w:t>Three Months Ended</w:t>
            </w:r>
          </w:p>
        </w:tc>
        <w:tc>
          <w:tcPr>
            <w:tcW w:w="2120" w:type="dxa"/>
            <w:vAlign w:val="bottom"/>
            <w:gridSpan w:val="3"/>
          </w:tcPr>
          <w:p>
            <w:pPr>
              <w:jc w:val="right"/>
              <w:ind w:right="72"/>
              <w:spacing w:after="0"/>
              <w:rPr>
                <w:sz w:val="20"/>
                <w:szCs w:val="20"/>
                <w:color w:val="auto"/>
              </w:rPr>
            </w:pPr>
            <w:r>
              <w:rPr>
                <w:rFonts w:ascii="Arial" w:cs="Arial" w:eastAsia="Arial" w:hAnsi="Arial"/>
                <w:sz w:val="22"/>
                <w:szCs w:val="22"/>
                <w:color w:val="auto"/>
                <w:w w:val="99"/>
              </w:rPr>
              <w:t>Nine Months Ended</w:t>
            </w:r>
          </w:p>
        </w:tc>
        <w:tc>
          <w:tcPr>
            <w:tcW w:w="0" w:type="dxa"/>
            <w:vAlign w:val="bottom"/>
          </w:tcPr>
          <w:p>
            <w:pPr>
              <w:spacing w:after="0"/>
              <w:rPr>
                <w:sz w:val="1"/>
                <w:szCs w:val="1"/>
                <w:color w:val="auto"/>
              </w:rPr>
            </w:pPr>
          </w:p>
        </w:tc>
      </w:tr>
      <w:tr>
        <w:trPr>
          <w:trHeight w:val="265"/>
        </w:trPr>
        <w:tc>
          <w:tcPr>
            <w:tcW w:w="5100" w:type="dxa"/>
            <w:vAlign w:val="bottom"/>
          </w:tcPr>
          <w:p>
            <w:pPr>
              <w:spacing w:after="0"/>
              <w:rPr>
                <w:sz w:val="23"/>
                <w:szCs w:val="23"/>
                <w:color w:val="auto"/>
              </w:rPr>
            </w:pPr>
          </w:p>
        </w:tc>
        <w:tc>
          <w:tcPr>
            <w:tcW w:w="2320" w:type="dxa"/>
            <w:vAlign w:val="bottom"/>
            <w:gridSpan w:val="4"/>
          </w:tcPr>
          <w:p>
            <w:pPr>
              <w:jc w:val="center"/>
              <w:ind w:right="180"/>
              <w:spacing w:after="0"/>
              <w:rPr>
                <w:sz w:val="20"/>
                <w:szCs w:val="20"/>
                <w:color w:val="auto"/>
              </w:rPr>
            </w:pPr>
            <w:r>
              <w:rPr>
                <w:rFonts w:ascii="Arial" w:cs="Arial" w:eastAsia="Arial" w:hAnsi="Arial"/>
                <w:sz w:val="22"/>
                <w:szCs w:val="22"/>
                <w:color w:val="auto"/>
                <w:w w:val="87"/>
              </w:rPr>
              <w:t>September 30,</w:t>
            </w:r>
          </w:p>
        </w:tc>
        <w:tc>
          <w:tcPr>
            <w:tcW w:w="2120" w:type="dxa"/>
            <w:vAlign w:val="bottom"/>
            <w:gridSpan w:val="3"/>
          </w:tcPr>
          <w:p>
            <w:pPr>
              <w:jc w:val="right"/>
              <w:ind w:right="312"/>
              <w:spacing w:after="0"/>
              <w:rPr>
                <w:sz w:val="20"/>
                <w:szCs w:val="20"/>
                <w:color w:val="auto"/>
              </w:rPr>
            </w:pPr>
            <w:r>
              <w:rPr>
                <w:rFonts w:ascii="Arial" w:cs="Arial" w:eastAsia="Arial" w:hAnsi="Arial"/>
                <w:sz w:val="22"/>
                <w:szCs w:val="22"/>
                <w:color w:val="auto"/>
              </w:rPr>
              <w:t>September 30,</w:t>
            </w:r>
          </w:p>
        </w:tc>
        <w:tc>
          <w:tcPr>
            <w:tcW w:w="0" w:type="dxa"/>
            <w:vAlign w:val="bottom"/>
          </w:tcPr>
          <w:p>
            <w:pPr>
              <w:spacing w:after="0"/>
              <w:rPr>
                <w:sz w:val="1"/>
                <w:szCs w:val="1"/>
                <w:color w:val="auto"/>
              </w:rPr>
            </w:pPr>
          </w:p>
        </w:tc>
      </w:tr>
      <w:tr>
        <w:trPr>
          <w:trHeight w:val="237"/>
        </w:trPr>
        <w:tc>
          <w:tcPr>
            <w:tcW w:w="5100" w:type="dxa"/>
            <w:vAlign w:val="bottom"/>
            <w:tcBorders>
              <w:bottom w:val="single" w:sz="8" w:color="CCEEFF"/>
            </w:tcBorders>
          </w:tcPr>
          <w:p>
            <w:pPr>
              <w:spacing w:after="0"/>
              <w:rPr>
                <w:sz w:val="20"/>
                <w:szCs w:val="20"/>
                <w:color w:val="auto"/>
              </w:rPr>
            </w:pPr>
          </w:p>
        </w:tc>
        <w:tc>
          <w:tcPr>
            <w:tcW w:w="920" w:type="dxa"/>
            <w:vAlign w:val="bottom"/>
            <w:tcBorders>
              <w:top w:val="single" w:sz="8" w:color="auto"/>
              <w:bottom w:val="single" w:sz="8" w:color="auto"/>
            </w:tcBorders>
          </w:tcPr>
          <w:p>
            <w:pPr>
              <w:jc w:val="right"/>
              <w:ind w:right="132"/>
              <w:spacing w:after="0" w:line="237" w:lineRule="exact"/>
              <w:rPr>
                <w:sz w:val="20"/>
                <w:szCs w:val="20"/>
                <w:color w:val="auto"/>
              </w:rPr>
            </w:pPr>
            <w:r>
              <w:rPr>
                <w:rFonts w:ascii="Arial" w:cs="Arial" w:eastAsia="Arial" w:hAnsi="Arial"/>
                <w:sz w:val="22"/>
                <w:szCs w:val="22"/>
                <w:color w:val="auto"/>
              </w:rPr>
              <w:t>2018</w:t>
            </w:r>
          </w:p>
        </w:tc>
        <w:tc>
          <w:tcPr>
            <w:tcW w:w="160" w:type="dxa"/>
            <w:vAlign w:val="bottom"/>
            <w:tcBorders>
              <w:top w:val="single" w:sz="8" w:color="auto"/>
              <w:bottom w:val="single" w:sz="8" w:color="CCEEFF"/>
            </w:tcBorders>
          </w:tcPr>
          <w:p>
            <w:pPr>
              <w:spacing w:after="0"/>
              <w:rPr>
                <w:sz w:val="20"/>
                <w:szCs w:val="20"/>
                <w:color w:val="auto"/>
              </w:rPr>
            </w:pPr>
          </w:p>
        </w:tc>
        <w:tc>
          <w:tcPr>
            <w:tcW w:w="1080" w:type="dxa"/>
            <w:vAlign w:val="bottom"/>
            <w:tcBorders>
              <w:top w:val="single" w:sz="8" w:color="auto"/>
              <w:bottom w:val="single" w:sz="8" w:color="auto"/>
            </w:tcBorders>
          </w:tcPr>
          <w:p>
            <w:pPr>
              <w:jc w:val="right"/>
              <w:ind w:right="212"/>
              <w:spacing w:after="0" w:line="237" w:lineRule="exact"/>
              <w:rPr>
                <w:sz w:val="20"/>
                <w:szCs w:val="20"/>
                <w:color w:val="auto"/>
              </w:rPr>
            </w:pPr>
            <w:r>
              <w:rPr>
                <w:rFonts w:ascii="Arial" w:cs="Arial" w:eastAsia="Arial" w:hAnsi="Arial"/>
                <w:sz w:val="22"/>
                <w:szCs w:val="22"/>
                <w:color w:val="auto"/>
              </w:rPr>
              <w:t>2017</w:t>
            </w:r>
          </w:p>
        </w:tc>
        <w:tc>
          <w:tcPr>
            <w:tcW w:w="160" w:type="dxa"/>
            <w:vAlign w:val="bottom"/>
            <w:tcBorders>
              <w:bottom w:val="single" w:sz="8" w:color="CCEEFF"/>
            </w:tcBorders>
          </w:tcPr>
          <w:p>
            <w:pPr>
              <w:spacing w:after="0"/>
              <w:rPr>
                <w:sz w:val="20"/>
                <w:szCs w:val="20"/>
                <w:color w:val="auto"/>
              </w:rPr>
            </w:pPr>
          </w:p>
        </w:tc>
        <w:tc>
          <w:tcPr>
            <w:tcW w:w="940" w:type="dxa"/>
            <w:vAlign w:val="bottom"/>
            <w:tcBorders>
              <w:top w:val="single" w:sz="8" w:color="auto"/>
              <w:bottom w:val="single" w:sz="8" w:color="auto"/>
            </w:tcBorders>
          </w:tcPr>
          <w:p>
            <w:pPr>
              <w:jc w:val="right"/>
              <w:ind w:right="132"/>
              <w:spacing w:after="0" w:line="237" w:lineRule="exact"/>
              <w:rPr>
                <w:sz w:val="20"/>
                <w:szCs w:val="20"/>
                <w:color w:val="auto"/>
              </w:rPr>
            </w:pPr>
            <w:r>
              <w:rPr>
                <w:rFonts w:ascii="Arial" w:cs="Arial" w:eastAsia="Arial" w:hAnsi="Arial"/>
                <w:sz w:val="22"/>
                <w:szCs w:val="22"/>
                <w:color w:val="auto"/>
              </w:rPr>
              <w:t>2018</w:t>
            </w:r>
          </w:p>
        </w:tc>
        <w:tc>
          <w:tcPr>
            <w:tcW w:w="160" w:type="dxa"/>
            <w:vAlign w:val="bottom"/>
            <w:tcBorders>
              <w:top w:val="single" w:sz="8" w:color="auto"/>
              <w:bottom w:val="single" w:sz="8" w:color="CCEEFF"/>
            </w:tcBorders>
          </w:tcPr>
          <w:p>
            <w:pPr>
              <w:spacing w:after="0"/>
              <w:rPr>
                <w:sz w:val="20"/>
                <w:szCs w:val="20"/>
                <w:color w:val="auto"/>
              </w:rPr>
            </w:pPr>
          </w:p>
        </w:tc>
        <w:tc>
          <w:tcPr>
            <w:tcW w:w="1020" w:type="dxa"/>
            <w:vAlign w:val="bottom"/>
            <w:tcBorders>
              <w:top w:val="single" w:sz="8" w:color="auto"/>
              <w:bottom w:val="single" w:sz="8" w:color="auto"/>
            </w:tcBorders>
          </w:tcPr>
          <w:p>
            <w:pPr>
              <w:jc w:val="right"/>
              <w:ind w:right="172"/>
              <w:spacing w:after="0" w:line="237" w:lineRule="exact"/>
              <w:rPr>
                <w:sz w:val="20"/>
                <w:szCs w:val="20"/>
                <w:color w:val="auto"/>
              </w:rPr>
            </w:pPr>
            <w:r>
              <w:rPr>
                <w:rFonts w:ascii="Arial" w:cs="Arial" w:eastAsia="Arial" w:hAnsi="Arial"/>
                <w:sz w:val="22"/>
                <w:szCs w:val="22"/>
                <w:color w:val="auto"/>
              </w:rPr>
              <w:t>2017</w:t>
            </w:r>
          </w:p>
        </w:tc>
        <w:tc>
          <w:tcPr>
            <w:tcW w:w="0" w:type="dxa"/>
            <w:vAlign w:val="bottom"/>
          </w:tcPr>
          <w:p>
            <w:pPr>
              <w:spacing w:after="0"/>
              <w:rPr>
                <w:sz w:val="1"/>
                <w:szCs w:val="1"/>
                <w:color w:val="auto"/>
              </w:rPr>
            </w:pPr>
          </w:p>
        </w:tc>
      </w:tr>
      <w:tr>
        <w:trPr>
          <w:trHeight w:val="202"/>
        </w:trPr>
        <w:tc>
          <w:tcPr>
            <w:tcW w:w="5100" w:type="dxa"/>
            <w:vAlign w:val="bottom"/>
            <w:shd w:val="clear" w:color="auto" w:fill="CCEEFF"/>
          </w:tcPr>
          <w:p>
            <w:pPr>
              <w:spacing w:after="0" w:line="202" w:lineRule="exact"/>
              <w:rPr>
                <w:sz w:val="20"/>
                <w:szCs w:val="20"/>
                <w:color w:val="auto"/>
              </w:rPr>
            </w:pPr>
            <w:r>
              <w:rPr>
                <w:rFonts w:ascii="Arial" w:cs="Arial" w:eastAsia="Arial" w:hAnsi="Arial"/>
                <w:sz w:val="22"/>
                <w:szCs w:val="22"/>
                <w:color w:val="auto"/>
                <w:w w:val="94"/>
              </w:rPr>
              <w:t>Average common shares outstanding during the period</w:t>
            </w:r>
          </w:p>
        </w:tc>
        <w:tc>
          <w:tcPr>
            <w:tcW w:w="9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65"/>
        </w:trPr>
        <w:tc>
          <w:tcPr>
            <w:tcW w:w="5100" w:type="dxa"/>
            <w:vAlign w:val="bottom"/>
            <w:shd w:val="clear" w:color="auto" w:fill="CCEEFF"/>
          </w:tcPr>
          <w:p>
            <w:pPr>
              <w:spacing w:after="0"/>
              <w:rPr>
                <w:sz w:val="20"/>
                <w:szCs w:val="20"/>
                <w:color w:val="auto"/>
              </w:rPr>
            </w:pPr>
            <w:r>
              <w:rPr>
                <w:rFonts w:ascii="Arial" w:cs="Arial" w:eastAsia="Arial" w:hAnsi="Arial"/>
                <w:sz w:val="22"/>
                <w:szCs w:val="22"/>
                <w:color w:val="auto"/>
              </w:rPr>
              <w:t>for basic computation</w:t>
            </w:r>
          </w:p>
        </w:tc>
        <w:tc>
          <w:tcPr>
            <w:tcW w:w="920" w:type="dxa"/>
            <w:vAlign w:val="bottom"/>
            <w:shd w:val="clear" w:color="auto" w:fill="CCEEFF"/>
          </w:tcPr>
          <w:p>
            <w:pPr>
              <w:jc w:val="right"/>
              <w:spacing w:after="0"/>
              <w:rPr>
                <w:sz w:val="20"/>
                <w:szCs w:val="20"/>
                <w:color w:val="auto"/>
              </w:rPr>
            </w:pPr>
            <w:r>
              <w:rPr>
                <w:rFonts w:ascii="Arial" w:cs="Arial" w:eastAsia="Arial" w:hAnsi="Arial"/>
                <w:sz w:val="22"/>
                <w:szCs w:val="22"/>
                <w:color w:val="auto"/>
              </w:rPr>
              <w:t>177,923</w:t>
            </w:r>
          </w:p>
        </w:tc>
        <w:tc>
          <w:tcPr>
            <w:tcW w:w="16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22"/>
                <w:szCs w:val="22"/>
                <w:color w:val="auto"/>
              </w:rPr>
              <w:t>177,660</w:t>
            </w:r>
          </w:p>
        </w:tc>
        <w:tc>
          <w:tcPr>
            <w:tcW w:w="160" w:type="dxa"/>
            <w:vAlign w:val="bottom"/>
            <w:shd w:val="clear" w:color="auto" w:fill="CCEEFF"/>
          </w:tcPr>
          <w:p>
            <w:pPr>
              <w:spacing w:after="0"/>
              <w:rPr>
                <w:sz w:val="23"/>
                <w:szCs w:val="23"/>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22"/>
                <w:szCs w:val="22"/>
                <w:color w:val="auto"/>
              </w:rPr>
              <w:t>177,876</w:t>
            </w:r>
          </w:p>
        </w:tc>
        <w:tc>
          <w:tcPr>
            <w:tcW w:w="16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22"/>
                <w:szCs w:val="22"/>
                <w:color w:val="auto"/>
              </w:rPr>
              <w:t>177,583</w:t>
            </w:r>
          </w:p>
        </w:tc>
        <w:tc>
          <w:tcPr>
            <w:tcW w:w="0" w:type="dxa"/>
            <w:vAlign w:val="bottom"/>
          </w:tcPr>
          <w:p>
            <w:pPr>
              <w:spacing w:after="0"/>
              <w:rPr>
                <w:sz w:val="1"/>
                <w:szCs w:val="1"/>
                <w:color w:val="auto"/>
              </w:rPr>
            </w:pPr>
          </w:p>
        </w:tc>
      </w:tr>
      <w:tr>
        <w:trPr>
          <w:trHeight w:val="243"/>
        </w:trPr>
        <w:tc>
          <w:tcPr>
            <w:tcW w:w="5100" w:type="dxa"/>
            <w:vAlign w:val="bottom"/>
            <w:tcBorders>
              <w:bottom w:val="single" w:sz="8" w:color="CCEEFF"/>
            </w:tcBorders>
          </w:tcPr>
          <w:p>
            <w:pPr>
              <w:spacing w:after="0" w:line="243" w:lineRule="exact"/>
              <w:rPr>
                <w:sz w:val="20"/>
                <w:szCs w:val="20"/>
                <w:color w:val="auto"/>
              </w:rPr>
            </w:pPr>
            <w:r>
              <w:rPr>
                <w:rFonts w:ascii="Arial" w:cs="Arial" w:eastAsia="Arial" w:hAnsi="Arial"/>
                <w:sz w:val="22"/>
                <w:szCs w:val="22"/>
                <w:color w:val="auto"/>
                <w:w w:val="96"/>
              </w:rPr>
              <w:t>Dilutive effect of employee stock-based compensation</w:t>
            </w:r>
          </w:p>
        </w:tc>
        <w:tc>
          <w:tcPr>
            <w:tcW w:w="920" w:type="dxa"/>
            <w:vAlign w:val="bottom"/>
            <w:tcBorders>
              <w:bottom w:val="single" w:sz="8" w:color="auto"/>
            </w:tcBorders>
          </w:tcPr>
          <w:p>
            <w:pPr>
              <w:jc w:val="right"/>
              <w:spacing w:after="0" w:line="243" w:lineRule="exact"/>
              <w:rPr>
                <w:sz w:val="20"/>
                <w:szCs w:val="20"/>
                <w:color w:val="auto"/>
              </w:rPr>
            </w:pPr>
            <w:r>
              <w:rPr>
                <w:rFonts w:ascii="Arial" w:cs="Arial" w:eastAsia="Arial" w:hAnsi="Arial"/>
                <w:sz w:val="22"/>
                <w:szCs w:val="22"/>
                <w:color w:val="auto"/>
              </w:rPr>
              <w:t>434</w:t>
            </w:r>
          </w:p>
        </w:tc>
        <w:tc>
          <w:tcPr>
            <w:tcW w:w="160" w:type="dxa"/>
            <w:vAlign w:val="bottom"/>
            <w:tcBorders>
              <w:bottom w:val="single" w:sz="8" w:color="CCEEFF"/>
            </w:tcBorders>
          </w:tcPr>
          <w:p>
            <w:pPr>
              <w:spacing w:after="0"/>
              <w:rPr>
                <w:sz w:val="21"/>
                <w:szCs w:val="21"/>
                <w:color w:val="auto"/>
              </w:rPr>
            </w:pPr>
          </w:p>
        </w:tc>
        <w:tc>
          <w:tcPr>
            <w:tcW w:w="1080" w:type="dxa"/>
            <w:vAlign w:val="bottom"/>
            <w:tcBorders>
              <w:bottom w:val="single" w:sz="8" w:color="auto"/>
            </w:tcBorders>
          </w:tcPr>
          <w:p>
            <w:pPr>
              <w:jc w:val="right"/>
              <w:spacing w:after="0" w:line="243" w:lineRule="exact"/>
              <w:rPr>
                <w:sz w:val="20"/>
                <w:szCs w:val="20"/>
                <w:color w:val="auto"/>
              </w:rPr>
            </w:pPr>
            <w:r>
              <w:rPr>
                <w:rFonts w:ascii="Arial" w:cs="Arial" w:eastAsia="Arial" w:hAnsi="Arial"/>
                <w:sz w:val="22"/>
                <w:szCs w:val="22"/>
                <w:color w:val="auto"/>
              </w:rPr>
              <w:t>464</w:t>
            </w:r>
          </w:p>
        </w:tc>
        <w:tc>
          <w:tcPr>
            <w:tcW w:w="160" w:type="dxa"/>
            <w:vAlign w:val="bottom"/>
            <w:tcBorders>
              <w:bottom w:val="single" w:sz="8" w:color="CCEEFF"/>
            </w:tcBorders>
          </w:tcPr>
          <w:p>
            <w:pPr>
              <w:spacing w:after="0"/>
              <w:rPr>
                <w:sz w:val="21"/>
                <w:szCs w:val="21"/>
                <w:color w:val="auto"/>
              </w:rPr>
            </w:pPr>
          </w:p>
        </w:tc>
        <w:tc>
          <w:tcPr>
            <w:tcW w:w="940" w:type="dxa"/>
            <w:vAlign w:val="bottom"/>
            <w:tcBorders>
              <w:bottom w:val="single" w:sz="8" w:color="auto"/>
            </w:tcBorders>
          </w:tcPr>
          <w:p>
            <w:pPr>
              <w:jc w:val="right"/>
              <w:spacing w:after="0" w:line="243" w:lineRule="exact"/>
              <w:rPr>
                <w:sz w:val="20"/>
                <w:szCs w:val="20"/>
                <w:color w:val="auto"/>
              </w:rPr>
            </w:pPr>
            <w:r>
              <w:rPr>
                <w:rFonts w:ascii="Arial" w:cs="Arial" w:eastAsia="Arial" w:hAnsi="Arial"/>
                <w:sz w:val="22"/>
                <w:szCs w:val="22"/>
                <w:color w:val="auto"/>
              </w:rPr>
              <w:t>471</w:t>
            </w:r>
          </w:p>
        </w:tc>
        <w:tc>
          <w:tcPr>
            <w:tcW w:w="160" w:type="dxa"/>
            <w:vAlign w:val="bottom"/>
            <w:tcBorders>
              <w:bottom w:val="single" w:sz="8" w:color="CCEEFF"/>
            </w:tcBorders>
          </w:tcPr>
          <w:p>
            <w:pPr>
              <w:spacing w:after="0"/>
              <w:rPr>
                <w:sz w:val="21"/>
                <w:szCs w:val="21"/>
                <w:color w:val="auto"/>
              </w:rPr>
            </w:pPr>
          </w:p>
        </w:tc>
        <w:tc>
          <w:tcPr>
            <w:tcW w:w="1020" w:type="dxa"/>
            <w:vAlign w:val="bottom"/>
            <w:tcBorders>
              <w:bottom w:val="single" w:sz="8" w:color="auto"/>
            </w:tcBorders>
          </w:tcPr>
          <w:p>
            <w:pPr>
              <w:jc w:val="right"/>
              <w:spacing w:after="0" w:line="243" w:lineRule="exact"/>
              <w:rPr>
                <w:sz w:val="20"/>
                <w:szCs w:val="20"/>
                <w:color w:val="auto"/>
              </w:rPr>
            </w:pPr>
            <w:r>
              <w:rPr>
                <w:rFonts w:ascii="Arial" w:cs="Arial" w:eastAsia="Arial" w:hAnsi="Arial"/>
                <w:sz w:val="22"/>
                <w:szCs w:val="22"/>
                <w:color w:val="auto"/>
              </w:rPr>
              <w:t>520</w:t>
            </w:r>
          </w:p>
        </w:tc>
        <w:tc>
          <w:tcPr>
            <w:tcW w:w="0" w:type="dxa"/>
            <w:vAlign w:val="bottom"/>
          </w:tcPr>
          <w:p>
            <w:pPr>
              <w:spacing w:after="0"/>
              <w:rPr>
                <w:sz w:val="1"/>
                <w:szCs w:val="1"/>
                <w:color w:val="auto"/>
              </w:rPr>
            </w:pPr>
          </w:p>
        </w:tc>
      </w:tr>
      <w:tr>
        <w:trPr>
          <w:trHeight w:val="202"/>
        </w:trPr>
        <w:tc>
          <w:tcPr>
            <w:tcW w:w="5100" w:type="dxa"/>
            <w:vAlign w:val="bottom"/>
            <w:shd w:val="clear" w:color="auto" w:fill="CCEEFF"/>
          </w:tcPr>
          <w:p>
            <w:pPr>
              <w:spacing w:after="0" w:line="202" w:lineRule="exact"/>
              <w:rPr>
                <w:sz w:val="20"/>
                <w:szCs w:val="20"/>
                <w:color w:val="auto"/>
              </w:rPr>
            </w:pPr>
            <w:r>
              <w:rPr>
                <w:rFonts w:ascii="Arial" w:cs="Arial" w:eastAsia="Arial" w:hAnsi="Arial"/>
                <w:sz w:val="22"/>
                <w:szCs w:val="22"/>
                <w:color w:val="auto"/>
                <w:w w:val="94"/>
              </w:rPr>
              <w:t>Average common shares outstanding during the period</w:t>
            </w: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22"/>
                <w:szCs w:val="22"/>
                <w:color w:val="auto"/>
              </w:rPr>
              <w:t>178,357</w:t>
            </w:r>
          </w:p>
        </w:tc>
        <w:tc>
          <w:tcPr>
            <w:tcW w:w="160" w:type="dxa"/>
            <w:vAlign w:val="bottom"/>
            <w:shd w:val="clear" w:color="auto" w:fill="CCEEFF"/>
          </w:tcPr>
          <w:p>
            <w:pPr>
              <w:spacing w:after="0"/>
              <w:rPr>
                <w:sz w:val="17"/>
                <w:szCs w:val="17"/>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22"/>
                <w:szCs w:val="22"/>
                <w:color w:val="auto"/>
              </w:rPr>
              <w:t>178,124</w:t>
            </w:r>
          </w:p>
        </w:tc>
        <w:tc>
          <w:tcPr>
            <w:tcW w:w="160" w:type="dxa"/>
            <w:vAlign w:val="bottom"/>
            <w:shd w:val="clear" w:color="auto" w:fill="CCEEFF"/>
          </w:tcPr>
          <w:p>
            <w:pPr>
              <w:spacing w:after="0"/>
              <w:rPr>
                <w:sz w:val="17"/>
                <w:szCs w:val="17"/>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22"/>
                <w:szCs w:val="22"/>
                <w:color w:val="auto"/>
              </w:rPr>
              <w:t>178,347</w:t>
            </w:r>
          </w:p>
        </w:tc>
        <w:tc>
          <w:tcPr>
            <w:tcW w:w="160" w:type="dxa"/>
            <w:vAlign w:val="bottom"/>
            <w:shd w:val="clear" w:color="auto" w:fill="CCEEFF"/>
          </w:tcPr>
          <w:p>
            <w:pPr>
              <w:spacing w:after="0"/>
              <w:rPr>
                <w:sz w:val="17"/>
                <w:szCs w:val="17"/>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22"/>
                <w:szCs w:val="22"/>
                <w:color w:val="auto"/>
              </w:rPr>
              <w:t>178,103</w:t>
            </w:r>
          </w:p>
        </w:tc>
        <w:tc>
          <w:tcPr>
            <w:tcW w:w="0" w:type="dxa"/>
            <w:vAlign w:val="bottom"/>
          </w:tcPr>
          <w:p>
            <w:pPr>
              <w:spacing w:after="0"/>
              <w:rPr>
                <w:sz w:val="1"/>
                <w:szCs w:val="1"/>
                <w:color w:val="auto"/>
              </w:rPr>
            </w:pPr>
          </w:p>
        </w:tc>
      </w:tr>
      <w:tr>
        <w:trPr>
          <w:trHeight w:val="258"/>
        </w:trPr>
        <w:tc>
          <w:tcPr>
            <w:tcW w:w="5100" w:type="dxa"/>
            <w:vAlign w:val="bottom"/>
            <w:tcBorders>
              <w:bottom w:val="single" w:sz="8" w:color="CCEEFF"/>
            </w:tcBorders>
            <w:shd w:val="clear" w:color="auto" w:fill="CCEEFF"/>
          </w:tcPr>
          <w:p>
            <w:pPr>
              <w:spacing w:after="0" w:line="251" w:lineRule="exact"/>
              <w:rPr>
                <w:sz w:val="20"/>
                <w:szCs w:val="20"/>
                <w:color w:val="auto"/>
              </w:rPr>
            </w:pPr>
            <w:r>
              <w:rPr>
                <w:rFonts w:ascii="Arial" w:cs="Arial" w:eastAsia="Arial" w:hAnsi="Arial"/>
                <w:sz w:val="22"/>
                <w:szCs w:val="22"/>
                <w:color w:val="auto"/>
              </w:rPr>
              <w:t>for diluted computation</w:t>
            </w:r>
          </w:p>
        </w:tc>
        <w:tc>
          <w:tcPr>
            <w:tcW w:w="920" w:type="dxa"/>
            <w:vAlign w:val="bottom"/>
            <w:tcBorders>
              <w:bottom w:val="single" w:sz="8" w:color="auto"/>
            </w:tcBorders>
            <w:vMerge w:val="continue"/>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auto"/>
            </w:tcBorders>
            <w:vMerge w:val="continue"/>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auto"/>
            </w:tcBorders>
            <w:vMerge w:val="continue"/>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auto"/>
            </w:tcBorders>
            <w:vMerge w:val="continue"/>
            <w:shd w:val="clear" w:color="auto" w:fill="CCEEFF"/>
          </w:tcPr>
          <w:p>
            <w:pPr>
              <w:spacing w:after="0"/>
              <w:rPr>
                <w:sz w:val="22"/>
                <w:szCs w:val="22"/>
                <w:color w:val="auto"/>
              </w:rPr>
            </w:pPr>
          </w:p>
        </w:tc>
        <w:tc>
          <w:tcPr>
            <w:tcW w:w="0" w:type="dxa"/>
            <w:vAlign w:val="bottom"/>
          </w:tcPr>
          <w:p>
            <w:pPr>
              <w:spacing w:after="0"/>
              <w:rPr>
                <w:sz w:val="1"/>
                <w:szCs w:val="1"/>
                <w:color w:val="auto"/>
              </w:rPr>
            </w:pPr>
          </w:p>
        </w:tc>
      </w:tr>
    </w:tbl>
    <w:p>
      <w:pPr>
        <w:spacing w:after="0" w:line="316" w:lineRule="exact"/>
        <w:rPr>
          <w:sz w:val="20"/>
          <w:szCs w:val="20"/>
          <w:color w:val="auto"/>
        </w:rPr>
      </w:pPr>
    </w:p>
    <w:p>
      <w:pPr>
        <w:ind w:right="20"/>
        <w:spacing w:after="0" w:line="277" w:lineRule="auto"/>
        <w:rPr>
          <w:sz w:val="20"/>
          <w:szCs w:val="20"/>
          <w:color w:val="auto"/>
        </w:rPr>
      </w:pPr>
      <w:r>
        <w:rPr>
          <w:rFonts w:ascii="Arial" w:cs="Arial" w:eastAsia="Arial" w:hAnsi="Arial"/>
          <w:sz w:val="19"/>
          <w:szCs w:val="19"/>
          <w:color w:val="auto"/>
        </w:rPr>
        <w:t>For the three months ended September 30, 2018 and 2017 and the nine months ended September 30, 2017, all the Company’s employee stock options were included in the calculations of diluted net income per share as the calculated cost to exercise the stock options was less than the average market price of the Company’s common stock during these periods. For the nine months ended September 30, 2018, employee stock options to purchase 8,596 shares of common stock were excluded from the calculation of diluted net income per share as the calculated cost to exercise the stock options was greater than the average market price of the Company’s common stock during this period.</w:t>
      </w:r>
    </w:p>
    <w:p>
      <w:pPr>
        <w:spacing w:after="0" w:line="17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Note 9 – </w:t>
      </w:r>
      <w:r>
        <w:rPr>
          <w:rFonts w:ascii="Arial" w:cs="Arial" w:eastAsia="Arial" w:hAnsi="Arial"/>
          <w:sz w:val="22"/>
          <w:szCs w:val="22"/>
          <w:b w:val="1"/>
          <w:bCs w:val="1"/>
          <w:i w:val="1"/>
          <w:iCs w:val="1"/>
          <w:color w:val="auto"/>
        </w:rPr>
        <w:t>Stock-based Compensation</w:t>
      </w:r>
    </w:p>
    <w:p>
      <w:pPr>
        <w:spacing w:after="0" w:line="239" w:lineRule="exact"/>
        <w:rPr>
          <w:sz w:val="20"/>
          <w:szCs w:val="20"/>
          <w:color w:val="auto"/>
        </w:rPr>
      </w:pPr>
    </w:p>
    <w:p>
      <w:pPr>
        <w:spacing w:after="0" w:line="269" w:lineRule="auto"/>
        <w:rPr>
          <w:sz w:val="20"/>
          <w:szCs w:val="20"/>
          <w:color w:val="auto"/>
        </w:rPr>
      </w:pPr>
      <w:r>
        <w:rPr>
          <w:rFonts w:ascii="Arial" w:cs="Arial" w:eastAsia="Arial" w:hAnsi="Arial"/>
          <w:sz w:val="19"/>
          <w:szCs w:val="19"/>
          <w:color w:val="auto"/>
        </w:rPr>
        <w:t>Under the Company’s 2009 Omnibus Equity Compensation Plan, as amended as of February 27, 2014 (the “2009 Plan”), as approved by the Company’s shareholders to replace the 2004 Equity Compensation Plan (the “2004 Plan”), stock options, stock units, stock awards, stock appreciation rights, dividend equivalents, and other stock-based awards may be granted to employees, non-employee directors, and consultants and advisors. No further grants may be made under the 2004 Plan. The 2009 Plan authorizes 6,250,000 shares for issuance under the plan. A maximum of 3,125,000 shares under the 2009 Plan may be issued pursuant to stock awards, stock units and other stock-based awards, subject to adjustment as provided in the 2009</w:t>
      </w:r>
    </w:p>
    <w:p>
      <w:pPr>
        <w:spacing w:after="0" w:line="5" w:lineRule="exact"/>
        <w:rPr>
          <w:sz w:val="20"/>
          <w:szCs w:val="20"/>
          <w:color w:val="auto"/>
        </w:rPr>
      </w:pPr>
    </w:p>
    <w:p>
      <w:pPr>
        <w:ind w:right="120"/>
        <w:spacing w:after="0" w:line="245" w:lineRule="auto"/>
        <w:rPr>
          <w:sz w:val="20"/>
          <w:szCs w:val="20"/>
          <w:color w:val="auto"/>
        </w:rPr>
      </w:pPr>
      <w:r>
        <w:rPr>
          <w:rFonts w:ascii="Arial" w:cs="Arial" w:eastAsia="Arial" w:hAnsi="Arial"/>
          <w:sz w:val="21"/>
          <w:szCs w:val="21"/>
          <w:color w:val="auto"/>
        </w:rPr>
        <w:t>Plan. During any calendar year, no individual may be granted (i) stock options and stock appreciation rights under the 2009 Plan for more than 500,000 shares of Company stock in the aggregate or (ii) stock awards, stock units or other stock-based awards under the 2009 Plan for more than 500,000 shares of Company stock in the aggregate, subject to adjustment as provided in the 2009 Plan. Awards to employees and consultants under the 2009 Plan are made by a committee of the Board of</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63500</wp:posOffset>
            </wp:positionV>
            <wp:extent cx="6114415" cy="514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114415" cy="51435"/>
                    </a:xfrm>
                    <a:prstGeom prst="rect">
                      <a:avLst/>
                    </a:prstGeom>
                    <a:noFill/>
                  </pic:spPr>
                </pic:pic>
              </a:graphicData>
            </a:graphic>
          </wp:anchor>
        </w:drawing>
      </w:r>
    </w:p>
    <w:p>
      <w:pPr>
        <w:sectPr>
          <w:pgSz w:w="11900" w:h="16838" w:orient="portrait"/>
          <w:cols w:equalWidth="0" w:num="1">
            <w:col w:w="9540"/>
          </w:cols>
          <w:pgMar w:left="1220" w:top="118" w:right="1139" w:bottom="1440" w:gutter="0" w:footer="0" w:header="0"/>
        </w:sectPr>
      </w:pPr>
    </w:p>
    <w:bookmarkStart w:id="19" w:name="page20"/>
    <w:bookmarkEnd w:id="19"/>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AQUA AMERICA, INC. AND SUBSIDIARIES NOTES TO CONSOLIDATED FINANCIAL STATEMENTS (continued) (In thousands of dollars, except per share amounts) (UNAUDITED)</w:t>
      </w:r>
    </w:p>
    <w:p>
      <w:pPr>
        <w:spacing w:after="0" w:line="200" w:lineRule="exact"/>
        <w:rPr>
          <w:sz w:val="20"/>
          <w:szCs w:val="20"/>
          <w:color w:val="auto"/>
        </w:rPr>
      </w:pPr>
    </w:p>
    <w:p>
      <w:pPr>
        <w:spacing w:after="0" w:line="239" w:lineRule="exact"/>
        <w:rPr>
          <w:sz w:val="20"/>
          <w:szCs w:val="20"/>
          <w:color w:val="auto"/>
        </w:rPr>
      </w:pPr>
    </w:p>
    <w:p>
      <w:pPr>
        <w:ind w:right="140"/>
        <w:spacing w:after="0" w:line="287" w:lineRule="auto"/>
        <w:rPr>
          <w:sz w:val="20"/>
          <w:szCs w:val="20"/>
          <w:color w:val="auto"/>
        </w:rPr>
      </w:pPr>
      <w:r>
        <w:rPr>
          <w:rFonts w:ascii="Arial" w:cs="Arial" w:eastAsia="Arial" w:hAnsi="Arial"/>
          <w:sz w:val="19"/>
          <w:szCs w:val="19"/>
          <w:color w:val="auto"/>
        </w:rPr>
        <w:t>Directors of the Company, except that with respect to awards to the Chief Executive Officer, the committee recommends those awards for approval by the non-employee directors of the Board of Directors. In the case of awards to non-employee directors, the Board of Directors makes such awards. At September 30, 2018, 3,388,594 shares were still available for issuance under the 2009 Plan.</w:t>
      </w:r>
    </w:p>
    <w:p>
      <w:pPr>
        <w:spacing w:after="0" w:line="170" w:lineRule="exact"/>
        <w:rPr>
          <w:sz w:val="20"/>
          <w:szCs w:val="20"/>
          <w:color w:val="auto"/>
        </w:rPr>
      </w:pPr>
    </w:p>
    <w:p>
      <w:pPr>
        <w:ind w:right="40"/>
        <w:spacing w:after="0" w:line="279" w:lineRule="auto"/>
        <w:rPr>
          <w:sz w:val="20"/>
          <w:szCs w:val="20"/>
          <w:color w:val="auto"/>
        </w:rPr>
      </w:pPr>
      <w:r>
        <w:rPr>
          <w:rFonts w:ascii="Arial" w:cs="Arial" w:eastAsia="Arial" w:hAnsi="Arial"/>
          <w:sz w:val="19"/>
          <w:szCs w:val="19"/>
          <w:b w:val="1"/>
          <w:bCs w:val="1"/>
          <w:i w:val="1"/>
          <w:iCs w:val="1"/>
          <w:color w:val="auto"/>
        </w:rPr>
        <w:t xml:space="preserve">Performance Share Units </w:t>
      </w:r>
      <w:r>
        <w:rPr>
          <w:rFonts w:ascii="Arial" w:cs="Arial" w:eastAsia="Arial" w:hAnsi="Arial"/>
          <w:sz w:val="19"/>
          <w:szCs w:val="19"/>
          <w:color w:val="auto"/>
        </w:rPr>
        <w:t>– A performance share unit (“PSU”) represents the right to receive a share of the</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Company’s common stock if specified performance goals are met over the three-year performance period specified in the grant, subject to exceptions through the respective vesting period, generally three years. Each grantee is granted a target award of PSUs, and may earn between 0% and 200% of the target amount depending on the Company’s performance against the performance goals. The following table provides compensation costs for stock-based compensation related to PSUs:</w:t>
      </w: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40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600" w:type="dxa"/>
            <w:vAlign w:val="bottom"/>
            <w:gridSpan w:val="5"/>
          </w:tcPr>
          <w:p>
            <w:pPr>
              <w:jc w:val="center"/>
              <w:ind w:right="500"/>
              <w:spacing w:after="0"/>
              <w:rPr>
                <w:sz w:val="20"/>
                <w:szCs w:val="20"/>
                <w:color w:val="auto"/>
              </w:rPr>
            </w:pPr>
            <w:r>
              <w:rPr>
                <w:rFonts w:ascii="Arial" w:cs="Arial" w:eastAsia="Arial" w:hAnsi="Arial"/>
                <w:sz w:val="22"/>
                <w:szCs w:val="22"/>
                <w:color w:val="auto"/>
                <w:w w:val="88"/>
              </w:rPr>
              <w:t>Three Months Ended</w:t>
            </w:r>
          </w:p>
        </w:tc>
        <w:tc>
          <w:tcPr>
            <w:tcW w:w="280" w:type="dxa"/>
            <w:vAlign w:val="bottom"/>
          </w:tcPr>
          <w:p>
            <w:pPr>
              <w:spacing w:after="0"/>
              <w:rPr>
                <w:sz w:val="21"/>
                <w:szCs w:val="21"/>
                <w:color w:val="auto"/>
              </w:rPr>
            </w:pPr>
          </w:p>
        </w:tc>
        <w:tc>
          <w:tcPr>
            <w:tcW w:w="2300" w:type="dxa"/>
            <w:vAlign w:val="bottom"/>
            <w:gridSpan w:val="4"/>
          </w:tcPr>
          <w:p>
            <w:pPr>
              <w:jc w:val="right"/>
              <w:ind w:right="312"/>
              <w:spacing w:after="0"/>
              <w:rPr>
                <w:sz w:val="20"/>
                <w:szCs w:val="20"/>
                <w:color w:val="auto"/>
              </w:rPr>
            </w:pPr>
            <w:r>
              <w:rPr>
                <w:rFonts w:ascii="Arial" w:cs="Arial" w:eastAsia="Arial" w:hAnsi="Arial"/>
                <w:sz w:val="22"/>
                <w:szCs w:val="22"/>
                <w:color w:val="auto"/>
                <w:w w:val="96"/>
              </w:rPr>
              <w:t>Nine Months Ended</w:t>
            </w:r>
          </w:p>
        </w:tc>
      </w:tr>
      <w:tr>
        <w:trPr>
          <w:trHeight w:val="265"/>
        </w:trPr>
        <w:tc>
          <w:tcPr>
            <w:tcW w:w="40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600" w:type="dxa"/>
            <w:vAlign w:val="bottom"/>
            <w:gridSpan w:val="5"/>
          </w:tcPr>
          <w:p>
            <w:pPr>
              <w:jc w:val="center"/>
              <w:ind w:right="480"/>
              <w:spacing w:after="0"/>
              <w:rPr>
                <w:sz w:val="20"/>
                <w:szCs w:val="20"/>
                <w:color w:val="auto"/>
              </w:rPr>
            </w:pPr>
            <w:r>
              <w:rPr>
                <w:rFonts w:ascii="Arial" w:cs="Arial" w:eastAsia="Arial" w:hAnsi="Arial"/>
                <w:sz w:val="22"/>
                <w:szCs w:val="22"/>
                <w:color w:val="auto"/>
                <w:w w:val="85"/>
              </w:rPr>
              <w:t>September 30,</w:t>
            </w:r>
          </w:p>
        </w:tc>
        <w:tc>
          <w:tcPr>
            <w:tcW w:w="280" w:type="dxa"/>
            <w:vAlign w:val="bottom"/>
          </w:tcPr>
          <w:p>
            <w:pPr>
              <w:spacing w:after="0"/>
              <w:rPr>
                <w:sz w:val="23"/>
                <w:szCs w:val="23"/>
                <w:color w:val="auto"/>
              </w:rPr>
            </w:pPr>
          </w:p>
        </w:tc>
        <w:tc>
          <w:tcPr>
            <w:tcW w:w="2300" w:type="dxa"/>
            <w:vAlign w:val="bottom"/>
            <w:gridSpan w:val="4"/>
          </w:tcPr>
          <w:p>
            <w:pPr>
              <w:jc w:val="right"/>
              <w:ind w:right="552"/>
              <w:spacing w:after="0"/>
              <w:rPr>
                <w:sz w:val="20"/>
                <w:szCs w:val="20"/>
                <w:color w:val="auto"/>
              </w:rPr>
            </w:pPr>
            <w:r>
              <w:rPr>
                <w:rFonts w:ascii="Arial" w:cs="Arial" w:eastAsia="Arial" w:hAnsi="Arial"/>
                <w:sz w:val="22"/>
                <w:szCs w:val="22"/>
                <w:color w:val="auto"/>
              </w:rPr>
              <w:t>September 30,</w:t>
            </w:r>
          </w:p>
        </w:tc>
      </w:tr>
      <w:tr>
        <w:trPr>
          <w:trHeight w:val="237"/>
        </w:trPr>
        <w:tc>
          <w:tcPr>
            <w:tcW w:w="4060" w:type="dxa"/>
            <w:vAlign w:val="bottom"/>
            <w:tcBorders>
              <w:bottom w:val="single" w:sz="8" w:color="CCEEFF"/>
            </w:tcBorders>
          </w:tcPr>
          <w:p>
            <w:pPr>
              <w:spacing w:after="0"/>
              <w:rPr>
                <w:sz w:val="20"/>
                <w:szCs w:val="20"/>
                <w:color w:val="auto"/>
              </w:rPr>
            </w:pPr>
          </w:p>
        </w:tc>
        <w:tc>
          <w:tcPr>
            <w:tcW w:w="300" w:type="dxa"/>
            <w:vAlign w:val="bottom"/>
            <w:tcBorders>
              <w:top w:val="single" w:sz="8" w:color="auto"/>
              <w:bottom w:val="single" w:sz="8" w:color="auto"/>
            </w:tcBorders>
          </w:tcPr>
          <w:p>
            <w:pPr>
              <w:spacing w:after="0"/>
              <w:rPr>
                <w:sz w:val="20"/>
                <w:szCs w:val="20"/>
                <w:color w:val="auto"/>
              </w:rPr>
            </w:pPr>
          </w:p>
        </w:tc>
        <w:tc>
          <w:tcPr>
            <w:tcW w:w="960" w:type="dxa"/>
            <w:vAlign w:val="bottom"/>
            <w:tcBorders>
              <w:top w:val="single" w:sz="8" w:color="auto"/>
              <w:bottom w:val="single" w:sz="8" w:color="auto"/>
            </w:tcBorders>
          </w:tcPr>
          <w:p>
            <w:pPr>
              <w:jc w:val="right"/>
              <w:ind w:right="312"/>
              <w:spacing w:after="0" w:line="237" w:lineRule="exact"/>
              <w:rPr>
                <w:sz w:val="20"/>
                <w:szCs w:val="20"/>
                <w:color w:val="auto"/>
              </w:rPr>
            </w:pPr>
            <w:r>
              <w:rPr>
                <w:rFonts w:ascii="Arial" w:cs="Arial" w:eastAsia="Arial" w:hAnsi="Arial"/>
                <w:sz w:val="22"/>
                <w:szCs w:val="22"/>
                <w:color w:val="auto"/>
              </w:rPr>
              <w:t>2018</w:t>
            </w:r>
          </w:p>
        </w:tc>
        <w:tc>
          <w:tcPr>
            <w:tcW w:w="180" w:type="dxa"/>
            <w:vAlign w:val="bottom"/>
            <w:tcBorders>
              <w:top w:val="single" w:sz="8" w:color="auto"/>
              <w:bottom w:val="single" w:sz="8" w:color="CCEEFF"/>
            </w:tcBorders>
          </w:tcPr>
          <w:p>
            <w:pPr>
              <w:spacing w:after="0"/>
              <w:rPr>
                <w:sz w:val="20"/>
                <w:szCs w:val="20"/>
                <w:color w:val="auto"/>
              </w:rPr>
            </w:pPr>
          </w:p>
        </w:tc>
        <w:tc>
          <w:tcPr>
            <w:tcW w:w="320" w:type="dxa"/>
            <w:vAlign w:val="bottom"/>
            <w:tcBorders>
              <w:top w:val="single" w:sz="8" w:color="auto"/>
              <w:bottom w:val="single" w:sz="8" w:color="auto"/>
            </w:tcBorders>
          </w:tcPr>
          <w:p>
            <w:pPr>
              <w:spacing w:after="0"/>
              <w:rPr>
                <w:sz w:val="20"/>
                <w:szCs w:val="20"/>
                <w:color w:val="auto"/>
              </w:rPr>
            </w:pPr>
          </w:p>
        </w:tc>
        <w:tc>
          <w:tcPr>
            <w:tcW w:w="940" w:type="dxa"/>
            <w:vAlign w:val="bottom"/>
            <w:tcBorders>
              <w:top w:val="single" w:sz="8" w:color="auto"/>
              <w:bottom w:val="single" w:sz="8" w:color="auto"/>
            </w:tcBorders>
          </w:tcPr>
          <w:p>
            <w:pPr>
              <w:jc w:val="right"/>
              <w:ind w:right="312"/>
              <w:spacing w:after="0" w:line="237" w:lineRule="exact"/>
              <w:rPr>
                <w:sz w:val="20"/>
                <w:szCs w:val="20"/>
                <w:color w:val="auto"/>
              </w:rPr>
            </w:pPr>
            <w:r>
              <w:rPr>
                <w:rFonts w:ascii="Arial" w:cs="Arial" w:eastAsia="Arial" w:hAnsi="Arial"/>
                <w:sz w:val="22"/>
                <w:szCs w:val="22"/>
                <w:color w:val="auto"/>
              </w:rPr>
              <w:t>2017</w:t>
            </w:r>
          </w:p>
        </w:tc>
        <w:tc>
          <w:tcPr>
            <w:tcW w:w="200" w:type="dxa"/>
            <w:vAlign w:val="bottom"/>
            <w:tcBorders>
              <w:bottom w:val="single" w:sz="8" w:color="CCEEFF"/>
            </w:tcBorders>
          </w:tcPr>
          <w:p>
            <w:pPr>
              <w:spacing w:after="0"/>
              <w:rPr>
                <w:sz w:val="20"/>
                <w:szCs w:val="20"/>
                <w:color w:val="auto"/>
              </w:rPr>
            </w:pPr>
          </w:p>
        </w:tc>
        <w:tc>
          <w:tcPr>
            <w:tcW w:w="280" w:type="dxa"/>
            <w:vAlign w:val="bottom"/>
            <w:tcBorders>
              <w:top w:val="single" w:sz="8" w:color="auto"/>
              <w:bottom w:val="single" w:sz="8" w:color="auto"/>
            </w:tcBorders>
          </w:tcPr>
          <w:p>
            <w:pPr>
              <w:spacing w:after="0"/>
              <w:rPr>
                <w:sz w:val="20"/>
                <w:szCs w:val="20"/>
                <w:color w:val="auto"/>
              </w:rPr>
            </w:pPr>
          </w:p>
        </w:tc>
        <w:tc>
          <w:tcPr>
            <w:tcW w:w="940" w:type="dxa"/>
            <w:vAlign w:val="bottom"/>
            <w:tcBorders>
              <w:top w:val="single" w:sz="8" w:color="auto"/>
              <w:bottom w:val="single" w:sz="8" w:color="auto"/>
            </w:tcBorders>
          </w:tcPr>
          <w:p>
            <w:pPr>
              <w:jc w:val="right"/>
              <w:ind w:right="292"/>
              <w:spacing w:after="0" w:line="237" w:lineRule="exact"/>
              <w:rPr>
                <w:sz w:val="20"/>
                <w:szCs w:val="20"/>
                <w:color w:val="auto"/>
              </w:rPr>
            </w:pPr>
            <w:r>
              <w:rPr>
                <w:rFonts w:ascii="Arial" w:cs="Arial" w:eastAsia="Arial" w:hAnsi="Arial"/>
                <w:sz w:val="22"/>
                <w:szCs w:val="22"/>
                <w:color w:val="auto"/>
              </w:rPr>
              <w:t>2018</w:t>
            </w:r>
          </w:p>
        </w:tc>
        <w:tc>
          <w:tcPr>
            <w:tcW w:w="160" w:type="dxa"/>
            <w:vAlign w:val="bottom"/>
            <w:tcBorders>
              <w:top w:val="single" w:sz="8" w:color="auto"/>
              <w:bottom w:val="single" w:sz="8" w:color="CCEEFF"/>
            </w:tcBorders>
          </w:tcPr>
          <w:p>
            <w:pPr>
              <w:spacing w:after="0"/>
              <w:rPr>
                <w:sz w:val="20"/>
                <w:szCs w:val="20"/>
                <w:color w:val="auto"/>
              </w:rPr>
            </w:pPr>
          </w:p>
        </w:tc>
        <w:tc>
          <w:tcPr>
            <w:tcW w:w="28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ind w:right="272"/>
              <w:spacing w:after="0" w:line="237" w:lineRule="exact"/>
              <w:rPr>
                <w:sz w:val="20"/>
                <w:szCs w:val="20"/>
                <w:color w:val="auto"/>
              </w:rPr>
            </w:pPr>
            <w:r>
              <w:rPr>
                <w:rFonts w:ascii="Arial" w:cs="Arial" w:eastAsia="Arial" w:hAnsi="Arial"/>
                <w:sz w:val="22"/>
                <w:szCs w:val="22"/>
                <w:color w:val="auto"/>
              </w:rPr>
              <w:t>2017</w:t>
            </w:r>
          </w:p>
        </w:tc>
      </w:tr>
      <w:tr>
        <w:trPr>
          <w:trHeight w:val="202"/>
        </w:trPr>
        <w:tc>
          <w:tcPr>
            <w:tcW w:w="4060" w:type="dxa"/>
            <w:vAlign w:val="bottom"/>
            <w:shd w:val="clear" w:color="auto" w:fill="CCEEFF"/>
          </w:tcPr>
          <w:p>
            <w:pPr>
              <w:spacing w:after="0" w:line="202" w:lineRule="exact"/>
              <w:rPr>
                <w:sz w:val="20"/>
                <w:szCs w:val="20"/>
                <w:color w:val="auto"/>
              </w:rPr>
            </w:pPr>
            <w:r>
              <w:rPr>
                <w:rFonts w:ascii="Arial" w:cs="Arial" w:eastAsia="Arial" w:hAnsi="Arial"/>
                <w:sz w:val="22"/>
                <w:szCs w:val="22"/>
                <w:color w:val="auto"/>
                <w:w w:val="92"/>
              </w:rPr>
              <w:t>Stock-based compensation within operations</w:t>
            </w:r>
          </w:p>
        </w:tc>
        <w:tc>
          <w:tcPr>
            <w:tcW w:w="3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r>
      <w:tr>
        <w:trPr>
          <w:trHeight w:val="265"/>
        </w:trPr>
        <w:tc>
          <w:tcPr>
            <w:tcW w:w="4060" w:type="dxa"/>
            <w:vAlign w:val="bottom"/>
            <w:shd w:val="clear" w:color="auto" w:fill="CCEEFF"/>
          </w:tcPr>
          <w:p>
            <w:pPr>
              <w:spacing w:after="0"/>
              <w:rPr>
                <w:sz w:val="20"/>
                <w:szCs w:val="20"/>
                <w:color w:val="auto"/>
              </w:rPr>
            </w:pPr>
            <w:r>
              <w:rPr>
                <w:rFonts w:ascii="Arial" w:cs="Arial" w:eastAsia="Arial" w:hAnsi="Arial"/>
                <w:sz w:val="22"/>
                <w:szCs w:val="22"/>
                <w:color w:val="auto"/>
              </w:rPr>
              <w:t>and maintenance expenses</w:t>
            </w:r>
          </w:p>
        </w:tc>
        <w:tc>
          <w:tcPr>
            <w:tcW w:w="300" w:type="dxa"/>
            <w:vAlign w:val="bottom"/>
            <w:shd w:val="clear" w:color="auto" w:fill="CCEEFF"/>
          </w:tcPr>
          <w:p>
            <w:pPr>
              <w:jc w:val="right"/>
              <w:spacing w:after="0"/>
              <w:rPr>
                <w:sz w:val="20"/>
                <w:szCs w:val="20"/>
                <w:color w:val="auto"/>
              </w:rPr>
            </w:pPr>
            <w:r>
              <w:rPr>
                <w:rFonts w:ascii="Arial" w:cs="Arial" w:eastAsia="Arial" w:hAnsi="Arial"/>
                <w:sz w:val="22"/>
                <w:szCs w:val="22"/>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22"/>
                <w:szCs w:val="22"/>
                <w:color w:val="auto"/>
              </w:rPr>
              <w:t>1,087</w:t>
            </w:r>
          </w:p>
        </w:tc>
        <w:tc>
          <w:tcPr>
            <w:tcW w:w="180" w:type="dxa"/>
            <w:vAlign w:val="bottom"/>
            <w:shd w:val="clear" w:color="auto" w:fill="CCEEFF"/>
          </w:tcPr>
          <w:p>
            <w:pPr>
              <w:spacing w:after="0"/>
              <w:rPr>
                <w:sz w:val="23"/>
                <w:szCs w:val="23"/>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22"/>
                <w:szCs w:val="22"/>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22"/>
                <w:szCs w:val="22"/>
                <w:color w:val="auto"/>
              </w:rPr>
              <w:t>1,035</w:t>
            </w:r>
          </w:p>
        </w:tc>
        <w:tc>
          <w:tcPr>
            <w:tcW w:w="200" w:type="dxa"/>
            <w:vAlign w:val="bottom"/>
            <w:shd w:val="clear" w:color="auto" w:fill="CCEEFF"/>
          </w:tcPr>
          <w:p>
            <w:pPr>
              <w:spacing w:after="0"/>
              <w:rPr>
                <w:sz w:val="23"/>
                <w:szCs w:val="23"/>
                <w:color w:val="auto"/>
              </w:rPr>
            </w:pPr>
          </w:p>
        </w:tc>
        <w:tc>
          <w:tcPr>
            <w:tcW w:w="280" w:type="dxa"/>
            <w:vAlign w:val="bottom"/>
            <w:shd w:val="clear" w:color="auto" w:fill="CCEEFF"/>
          </w:tcPr>
          <w:p>
            <w:pPr>
              <w:jc w:val="right"/>
              <w:ind w:right="12"/>
              <w:spacing w:after="0"/>
              <w:rPr>
                <w:sz w:val="20"/>
                <w:szCs w:val="20"/>
                <w:color w:val="auto"/>
              </w:rPr>
            </w:pPr>
            <w:r>
              <w:rPr>
                <w:rFonts w:ascii="Arial" w:cs="Arial" w:eastAsia="Arial" w:hAnsi="Arial"/>
                <w:sz w:val="22"/>
                <w:szCs w:val="22"/>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22"/>
                <w:szCs w:val="22"/>
                <w:color w:val="auto"/>
              </w:rPr>
              <w:t>3,286</w:t>
            </w:r>
          </w:p>
        </w:tc>
        <w:tc>
          <w:tcPr>
            <w:tcW w:w="160" w:type="dxa"/>
            <w:vAlign w:val="bottom"/>
            <w:shd w:val="clear" w:color="auto" w:fill="CCEEFF"/>
          </w:tcPr>
          <w:p>
            <w:pPr>
              <w:spacing w:after="0"/>
              <w:rPr>
                <w:sz w:val="23"/>
                <w:szCs w:val="23"/>
                <w:color w:val="auto"/>
              </w:rPr>
            </w:pPr>
          </w:p>
        </w:tc>
        <w:tc>
          <w:tcPr>
            <w:tcW w:w="280" w:type="dxa"/>
            <w:vAlign w:val="bottom"/>
            <w:shd w:val="clear" w:color="auto" w:fill="CCEEFF"/>
          </w:tcPr>
          <w:p>
            <w:pPr>
              <w:jc w:val="right"/>
              <w:ind w:right="12"/>
              <w:spacing w:after="0"/>
              <w:rPr>
                <w:sz w:val="20"/>
                <w:szCs w:val="20"/>
                <w:color w:val="auto"/>
              </w:rPr>
            </w:pPr>
            <w:r>
              <w:rPr>
                <w:rFonts w:ascii="Arial" w:cs="Arial" w:eastAsia="Arial" w:hAnsi="Arial"/>
                <w:sz w:val="22"/>
                <w:szCs w:val="22"/>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22"/>
                <w:szCs w:val="22"/>
                <w:color w:val="auto"/>
              </w:rPr>
              <w:t>2,875</w:t>
            </w:r>
          </w:p>
        </w:tc>
      </w:tr>
      <w:tr>
        <w:trPr>
          <w:trHeight w:val="275"/>
        </w:trPr>
        <w:tc>
          <w:tcPr>
            <w:tcW w:w="4060" w:type="dxa"/>
            <w:vAlign w:val="bottom"/>
          </w:tcPr>
          <w:p>
            <w:pPr>
              <w:spacing w:after="0"/>
              <w:rPr>
                <w:sz w:val="20"/>
                <w:szCs w:val="20"/>
                <w:color w:val="auto"/>
              </w:rPr>
            </w:pPr>
            <w:r>
              <w:rPr>
                <w:rFonts w:ascii="Arial" w:cs="Arial" w:eastAsia="Arial" w:hAnsi="Arial"/>
                <w:sz w:val="22"/>
                <w:szCs w:val="22"/>
                <w:color w:val="auto"/>
              </w:rPr>
              <w:t>Income tax benefit</w:t>
            </w:r>
          </w:p>
        </w:tc>
        <w:tc>
          <w:tcPr>
            <w:tcW w:w="3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22"/>
                <w:szCs w:val="22"/>
                <w:color w:val="auto"/>
              </w:rPr>
              <w:t>303</w:t>
            </w:r>
          </w:p>
        </w:tc>
        <w:tc>
          <w:tcPr>
            <w:tcW w:w="1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22"/>
                <w:szCs w:val="22"/>
                <w:color w:val="auto"/>
              </w:rPr>
              <w:t>420</w:t>
            </w:r>
          </w:p>
        </w:tc>
        <w:tc>
          <w:tcPr>
            <w:tcW w:w="2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22"/>
                <w:szCs w:val="22"/>
                <w:color w:val="auto"/>
              </w:rPr>
              <w:t>917</w:t>
            </w:r>
          </w:p>
        </w:tc>
        <w:tc>
          <w:tcPr>
            <w:tcW w:w="1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22"/>
                <w:szCs w:val="22"/>
                <w:color w:val="auto"/>
              </w:rPr>
              <w:t>1,167</w:t>
            </w:r>
          </w:p>
        </w:tc>
      </w:tr>
    </w:tbl>
    <w:p>
      <w:pPr>
        <w:spacing w:after="0" w:line="190" w:lineRule="exact"/>
        <w:rPr>
          <w:sz w:val="20"/>
          <w:szCs w:val="20"/>
          <w:color w:val="auto"/>
        </w:rPr>
      </w:pPr>
    </w:p>
    <w:p>
      <w:pPr>
        <w:spacing w:after="0"/>
        <w:rPr>
          <w:sz w:val="20"/>
          <w:szCs w:val="20"/>
          <w:color w:val="auto"/>
        </w:rPr>
      </w:pPr>
      <w:r>
        <w:rPr>
          <w:rFonts w:ascii="Arial" w:cs="Arial" w:eastAsia="Arial" w:hAnsi="Arial"/>
          <w:sz w:val="21"/>
          <w:szCs w:val="21"/>
          <w:color w:val="auto"/>
        </w:rPr>
        <w:t>The following table summarizes the PSU transactions for the nine months ended September 30, 2018:</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6840" w:type="dxa"/>
            <w:vAlign w:val="bottom"/>
          </w:tcPr>
          <w:p>
            <w:pPr>
              <w:spacing w:after="0"/>
              <w:rPr>
                <w:sz w:val="21"/>
                <w:szCs w:val="21"/>
                <w:color w:val="auto"/>
              </w:rPr>
            </w:pPr>
          </w:p>
        </w:tc>
        <w:tc>
          <w:tcPr>
            <w:tcW w:w="1480" w:type="dxa"/>
            <w:vAlign w:val="bottom"/>
            <w:gridSpan w:val="2"/>
          </w:tcPr>
          <w:p>
            <w:pPr>
              <w:jc w:val="center"/>
              <w:ind w:right="180"/>
              <w:spacing w:after="0"/>
              <w:rPr>
                <w:sz w:val="20"/>
                <w:szCs w:val="20"/>
                <w:color w:val="auto"/>
              </w:rPr>
            </w:pPr>
            <w:r>
              <w:rPr>
                <w:rFonts w:ascii="Arial" w:cs="Arial" w:eastAsia="Arial" w:hAnsi="Arial"/>
                <w:sz w:val="22"/>
                <w:szCs w:val="22"/>
                <w:color w:val="auto"/>
                <w:w w:val="89"/>
              </w:rPr>
              <w:t>Number</w:t>
            </w:r>
          </w:p>
        </w:tc>
        <w:tc>
          <w:tcPr>
            <w:tcW w:w="200" w:type="dxa"/>
            <w:vAlign w:val="bottom"/>
          </w:tcPr>
          <w:p>
            <w:pPr>
              <w:spacing w:after="0"/>
              <w:rPr>
                <w:sz w:val="21"/>
                <w:szCs w:val="21"/>
                <w:color w:val="auto"/>
              </w:rPr>
            </w:pPr>
          </w:p>
        </w:tc>
        <w:tc>
          <w:tcPr>
            <w:tcW w:w="1020" w:type="dxa"/>
            <w:vAlign w:val="bottom"/>
          </w:tcPr>
          <w:p>
            <w:pPr>
              <w:jc w:val="center"/>
              <w:ind w:right="92"/>
              <w:spacing w:after="0"/>
              <w:rPr>
                <w:sz w:val="20"/>
                <w:szCs w:val="20"/>
                <w:color w:val="auto"/>
              </w:rPr>
            </w:pPr>
            <w:r>
              <w:rPr>
                <w:rFonts w:ascii="Arial" w:cs="Arial" w:eastAsia="Arial" w:hAnsi="Arial"/>
                <w:sz w:val="22"/>
                <w:szCs w:val="22"/>
                <w:color w:val="auto"/>
                <w:w w:val="88"/>
              </w:rPr>
              <w:t>Weighted</w:t>
            </w:r>
          </w:p>
        </w:tc>
      </w:tr>
      <w:tr>
        <w:trPr>
          <w:trHeight w:val="243"/>
        </w:trPr>
        <w:tc>
          <w:tcPr>
            <w:tcW w:w="6840" w:type="dxa"/>
            <w:vAlign w:val="bottom"/>
          </w:tcPr>
          <w:p>
            <w:pPr>
              <w:spacing w:after="0"/>
              <w:rPr>
                <w:sz w:val="21"/>
                <w:szCs w:val="21"/>
                <w:color w:val="auto"/>
              </w:rPr>
            </w:pPr>
          </w:p>
        </w:tc>
        <w:tc>
          <w:tcPr>
            <w:tcW w:w="1480" w:type="dxa"/>
            <w:vAlign w:val="bottom"/>
            <w:gridSpan w:val="2"/>
          </w:tcPr>
          <w:p>
            <w:pPr>
              <w:jc w:val="center"/>
              <w:ind w:right="180"/>
              <w:spacing w:after="0" w:line="243" w:lineRule="exact"/>
              <w:rPr>
                <w:sz w:val="20"/>
                <w:szCs w:val="20"/>
                <w:color w:val="auto"/>
              </w:rPr>
            </w:pPr>
            <w:r>
              <w:rPr>
                <w:rFonts w:ascii="Arial" w:cs="Arial" w:eastAsia="Arial" w:hAnsi="Arial"/>
                <w:sz w:val="22"/>
                <w:szCs w:val="22"/>
                <w:color w:val="auto"/>
                <w:w w:val="97"/>
              </w:rPr>
              <w:t>of</w:t>
            </w:r>
          </w:p>
        </w:tc>
        <w:tc>
          <w:tcPr>
            <w:tcW w:w="200" w:type="dxa"/>
            <w:vAlign w:val="bottom"/>
          </w:tcPr>
          <w:p>
            <w:pPr>
              <w:spacing w:after="0"/>
              <w:rPr>
                <w:sz w:val="21"/>
                <w:szCs w:val="21"/>
                <w:color w:val="auto"/>
              </w:rPr>
            </w:pPr>
          </w:p>
        </w:tc>
        <w:tc>
          <w:tcPr>
            <w:tcW w:w="1020" w:type="dxa"/>
            <w:vAlign w:val="bottom"/>
          </w:tcPr>
          <w:p>
            <w:pPr>
              <w:jc w:val="center"/>
              <w:ind w:right="72"/>
              <w:spacing w:after="0" w:line="243" w:lineRule="exact"/>
              <w:rPr>
                <w:sz w:val="20"/>
                <w:szCs w:val="20"/>
                <w:color w:val="auto"/>
              </w:rPr>
            </w:pPr>
            <w:r>
              <w:rPr>
                <w:rFonts w:ascii="Arial" w:cs="Arial" w:eastAsia="Arial" w:hAnsi="Arial"/>
                <w:sz w:val="22"/>
                <w:szCs w:val="22"/>
                <w:color w:val="auto"/>
                <w:w w:val="87"/>
              </w:rPr>
              <w:t>Average</w:t>
            </w:r>
          </w:p>
        </w:tc>
      </w:tr>
      <w:tr>
        <w:trPr>
          <w:trHeight w:val="265"/>
        </w:trPr>
        <w:tc>
          <w:tcPr>
            <w:tcW w:w="6840" w:type="dxa"/>
            <w:vAlign w:val="bottom"/>
          </w:tcPr>
          <w:p>
            <w:pPr>
              <w:spacing w:after="0"/>
              <w:rPr>
                <w:sz w:val="23"/>
                <w:szCs w:val="23"/>
                <w:color w:val="auto"/>
              </w:rPr>
            </w:pPr>
          </w:p>
        </w:tc>
        <w:tc>
          <w:tcPr>
            <w:tcW w:w="1480" w:type="dxa"/>
            <w:vAlign w:val="bottom"/>
            <w:gridSpan w:val="2"/>
          </w:tcPr>
          <w:p>
            <w:pPr>
              <w:jc w:val="center"/>
              <w:ind w:right="180"/>
              <w:spacing w:after="0"/>
              <w:rPr>
                <w:sz w:val="20"/>
                <w:szCs w:val="20"/>
                <w:color w:val="auto"/>
              </w:rPr>
            </w:pPr>
            <w:r>
              <w:rPr>
                <w:rFonts w:ascii="Arial" w:cs="Arial" w:eastAsia="Arial" w:hAnsi="Arial"/>
                <w:sz w:val="22"/>
                <w:szCs w:val="22"/>
                <w:color w:val="auto"/>
                <w:w w:val="88"/>
              </w:rPr>
              <w:t>Share Units</w:t>
            </w:r>
          </w:p>
        </w:tc>
        <w:tc>
          <w:tcPr>
            <w:tcW w:w="1220" w:type="dxa"/>
            <w:vAlign w:val="bottom"/>
            <w:gridSpan w:val="2"/>
          </w:tcPr>
          <w:p>
            <w:pPr>
              <w:jc w:val="center"/>
              <w:spacing w:after="0"/>
              <w:rPr>
                <w:sz w:val="20"/>
                <w:szCs w:val="20"/>
                <w:color w:val="auto"/>
              </w:rPr>
            </w:pPr>
            <w:r>
              <w:rPr>
                <w:rFonts w:ascii="Arial" w:cs="Arial" w:eastAsia="Arial" w:hAnsi="Arial"/>
                <w:sz w:val="22"/>
                <w:szCs w:val="22"/>
                <w:color w:val="auto"/>
                <w:w w:val="89"/>
              </w:rPr>
              <w:t>Fair Value</w:t>
            </w:r>
          </w:p>
        </w:tc>
      </w:tr>
      <w:tr>
        <w:trPr>
          <w:trHeight w:val="237"/>
        </w:trPr>
        <w:tc>
          <w:tcPr>
            <w:tcW w:w="6840" w:type="dxa"/>
            <w:vAlign w:val="bottom"/>
            <w:tcBorders>
              <w:top w:val="single" w:sz="8" w:color="CCEEFF"/>
            </w:tcBorders>
            <w:shd w:val="clear" w:color="auto" w:fill="CCEEFF"/>
          </w:tcPr>
          <w:p>
            <w:pPr>
              <w:spacing w:after="0" w:line="237" w:lineRule="exact"/>
              <w:rPr>
                <w:sz w:val="20"/>
                <w:szCs w:val="20"/>
                <w:color w:val="auto"/>
              </w:rPr>
            </w:pPr>
            <w:r>
              <w:rPr>
                <w:rFonts w:ascii="Arial" w:cs="Arial" w:eastAsia="Arial" w:hAnsi="Arial"/>
                <w:sz w:val="22"/>
                <w:szCs w:val="22"/>
                <w:color w:val="auto"/>
              </w:rPr>
              <w:t>Nonvested share units at beginning of period</w:t>
            </w:r>
          </w:p>
        </w:tc>
        <w:tc>
          <w:tcPr>
            <w:tcW w:w="1300" w:type="dxa"/>
            <w:vAlign w:val="bottom"/>
            <w:tcBorders>
              <w:top w:val="single" w:sz="8" w:color="auto"/>
            </w:tcBorders>
            <w:shd w:val="clear" w:color="auto" w:fill="CCEEFF"/>
          </w:tcPr>
          <w:p>
            <w:pPr>
              <w:jc w:val="right"/>
              <w:spacing w:after="0" w:line="237" w:lineRule="exact"/>
              <w:rPr>
                <w:sz w:val="20"/>
                <w:szCs w:val="20"/>
                <w:color w:val="auto"/>
              </w:rPr>
            </w:pPr>
            <w:r>
              <w:rPr>
                <w:rFonts w:ascii="Arial" w:cs="Arial" w:eastAsia="Arial" w:hAnsi="Arial"/>
                <w:sz w:val="22"/>
                <w:szCs w:val="22"/>
                <w:color w:val="auto"/>
              </w:rPr>
              <w:t>452,333</w:t>
            </w:r>
          </w:p>
        </w:tc>
        <w:tc>
          <w:tcPr>
            <w:tcW w:w="180" w:type="dxa"/>
            <w:vAlign w:val="bottom"/>
            <w:tcBorders>
              <w:top w:val="single" w:sz="8" w:color="CCEEFF"/>
            </w:tcBorders>
            <w:shd w:val="clear" w:color="auto" w:fill="CCEEFF"/>
          </w:tcPr>
          <w:p>
            <w:pPr>
              <w:spacing w:after="0"/>
              <w:rPr>
                <w:sz w:val="20"/>
                <w:szCs w:val="20"/>
                <w:color w:val="auto"/>
              </w:rPr>
            </w:pPr>
          </w:p>
        </w:tc>
        <w:tc>
          <w:tcPr>
            <w:tcW w:w="200" w:type="dxa"/>
            <w:vAlign w:val="bottom"/>
            <w:tcBorders>
              <w:top w:val="single" w:sz="8" w:color="auto"/>
            </w:tcBorders>
            <w:shd w:val="clear" w:color="auto" w:fill="CCEEFF"/>
          </w:tcPr>
          <w:p>
            <w:pPr>
              <w:jc w:val="right"/>
              <w:spacing w:after="0" w:line="237" w:lineRule="exact"/>
              <w:rPr>
                <w:sz w:val="20"/>
                <w:szCs w:val="20"/>
                <w:color w:val="auto"/>
              </w:rPr>
            </w:pPr>
            <w:r>
              <w:rPr>
                <w:rFonts w:ascii="Arial" w:cs="Arial" w:eastAsia="Arial" w:hAnsi="Arial"/>
                <w:sz w:val="22"/>
                <w:szCs w:val="22"/>
                <w:color w:val="auto"/>
              </w:rPr>
              <w:t>$</w:t>
            </w:r>
          </w:p>
        </w:tc>
        <w:tc>
          <w:tcPr>
            <w:tcW w:w="1020" w:type="dxa"/>
            <w:vAlign w:val="bottom"/>
            <w:tcBorders>
              <w:top w:val="single" w:sz="8" w:color="auto"/>
            </w:tcBorders>
            <w:shd w:val="clear" w:color="auto" w:fill="CCEEFF"/>
          </w:tcPr>
          <w:p>
            <w:pPr>
              <w:jc w:val="right"/>
              <w:spacing w:after="0" w:line="237" w:lineRule="exact"/>
              <w:rPr>
                <w:sz w:val="20"/>
                <w:szCs w:val="20"/>
                <w:color w:val="auto"/>
              </w:rPr>
            </w:pPr>
            <w:r>
              <w:rPr>
                <w:rFonts w:ascii="Arial" w:cs="Arial" w:eastAsia="Arial" w:hAnsi="Arial"/>
                <w:sz w:val="22"/>
                <w:szCs w:val="22"/>
                <w:color w:val="auto"/>
              </w:rPr>
              <w:t>26.16</w:t>
            </w:r>
          </w:p>
        </w:tc>
      </w:tr>
      <w:tr>
        <w:trPr>
          <w:trHeight w:val="243"/>
        </w:trPr>
        <w:tc>
          <w:tcPr>
            <w:tcW w:w="6840" w:type="dxa"/>
            <w:vAlign w:val="bottom"/>
          </w:tcPr>
          <w:p>
            <w:pPr>
              <w:ind w:left="100"/>
              <w:spacing w:after="0" w:line="243" w:lineRule="exact"/>
              <w:rPr>
                <w:sz w:val="20"/>
                <w:szCs w:val="20"/>
                <w:color w:val="auto"/>
              </w:rPr>
            </w:pPr>
            <w:r>
              <w:rPr>
                <w:rFonts w:ascii="Arial" w:cs="Arial" w:eastAsia="Arial" w:hAnsi="Arial"/>
                <w:sz w:val="22"/>
                <w:szCs w:val="22"/>
                <w:color w:val="auto"/>
              </w:rPr>
              <w:t>Granted</w:t>
            </w:r>
          </w:p>
        </w:tc>
        <w:tc>
          <w:tcPr>
            <w:tcW w:w="1300" w:type="dxa"/>
            <w:vAlign w:val="bottom"/>
          </w:tcPr>
          <w:p>
            <w:pPr>
              <w:jc w:val="right"/>
              <w:spacing w:after="0" w:line="243" w:lineRule="exact"/>
              <w:rPr>
                <w:sz w:val="20"/>
                <w:szCs w:val="20"/>
                <w:color w:val="auto"/>
              </w:rPr>
            </w:pPr>
            <w:r>
              <w:rPr>
                <w:rFonts w:ascii="Arial" w:cs="Arial" w:eastAsia="Arial" w:hAnsi="Arial"/>
                <w:sz w:val="22"/>
                <w:szCs w:val="22"/>
                <w:color w:val="auto"/>
              </w:rPr>
              <w:t>93,339</w:t>
            </w:r>
          </w:p>
        </w:tc>
        <w:tc>
          <w:tcPr>
            <w:tcW w:w="1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tcPr>
          <w:p>
            <w:pPr>
              <w:jc w:val="right"/>
              <w:spacing w:after="0" w:line="243" w:lineRule="exact"/>
              <w:rPr>
                <w:sz w:val="20"/>
                <w:szCs w:val="20"/>
                <w:color w:val="auto"/>
              </w:rPr>
            </w:pPr>
            <w:r>
              <w:rPr>
                <w:rFonts w:ascii="Arial" w:cs="Arial" w:eastAsia="Arial" w:hAnsi="Arial"/>
                <w:sz w:val="22"/>
                <w:szCs w:val="22"/>
                <w:color w:val="auto"/>
              </w:rPr>
              <w:t>37.42</w:t>
            </w:r>
          </w:p>
        </w:tc>
      </w:tr>
      <w:tr>
        <w:trPr>
          <w:trHeight w:val="243"/>
        </w:trPr>
        <w:tc>
          <w:tcPr>
            <w:tcW w:w="6840" w:type="dxa"/>
            <w:vAlign w:val="bottom"/>
            <w:shd w:val="clear" w:color="auto" w:fill="CCEEFF"/>
          </w:tcPr>
          <w:p>
            <w:pPr>
              <w:ind w:left="100"/>
              <w:spacing w:after="0" w:line="243" w:lineRule="exact"/>
              <w:rPr>
                <w:sz w:val="20"/>
                <w:szCs w:val="20"/>
                <w:color w:val="auto"/>
              </w:rPr>
            </w:pPr>
            <w:r>
              <w:rPr>
                <w:rFonts w:ascii="Arial" w:cs="Arial" w:eastAsia="Arial" w:hAnsi="Arial"/>
                <w:sz w:val="22"/>
                <w:szCs w:val="22"/>
                <w:color w:val="auto"/>
              </w:rPr>
              <w:t>Performance criteria adjustment</w:t>
            </w:r>
          </w:p>
        </w:tc>
        <w:tc>
          <w:tcPr>
            <w:tcW w:w="1300" w:type="dxa"/>
            <w:vAlign w:val="bottom"/>
            <w:shd w:val="clear" w:color="auto" w:fill="CCEEFF"/>
          </w:tcPr>
          <w:p>
            <w:pPr>
              <w:jc w:val="right"/>
              <w:spacing w:after="0" w:line="243" w:lineRule="exact"/>
              <w:rPr>
                <w:sz w:val="20"/>
                <w:szCs w:val="20"/>
                <w:color w:val="auto"/>
              </w:rPr>
            </w:pPr>
            <w:r>
              <w:rPr>
                <w:rFonts w:ascii="Arial" w:cs="Arial" w:eastAsia="Arial" w:hAnsi="Arial"/>
                <w:sz w:val="22"/>
                <w:szCs w:val="22"/>
                <w:color w:val="auto"/>
              </w:rPr>
              <w:t>8,719</w:t>
            </w:r>
          </w:p>
        </w:tc>
        <w:tc>
          <w:tcPr>
            <w:tcW w:w="1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line="243" w:lineRule="exact"/>
              <w:rPr>
                <w:sz w:val="20"/>
                <w:szCs w:val="20"/>
                <w:color w:val="auto"/>
              </w:rPr>
            </w:pPr>
            <w:r>
              <w:rPr>
                <w:rFonts w:ascii="Arial" w:cs="Arial" w:eastAsia="Arial" w:hAnsi="Arial"/>
                <w:sz w:val="22"/>
                <w:szCs w:val="22"/>
                <w:color w:val="auto"/>
              </w:rPr>
              <w:t>31.88</w:t>
            </w:r>
          </w:p>
        </w:tc>
      </w:tr>
      <w:tr>
        <w:trPr>
          <w:trHeight w:val="243"/>
        </w:trPr>
        <w:tc>
          <w:tcPr>
            <w:tcW w:w="6840" w:type="dxa"/>
            <w:vAlign w:val="bottom"/>
          </w:tcPr>
          <w:p>
            <w:pPr>
              <w:ind w:left="100"/>
              <w:spacing w:after="0" w:line="243" w:lineRule="exact"/>
              <w:rPr>
                <w:sz w:val="20"/>
                <w:szCs w:val="20"/>
                <w:color w:val="auto"/>
              </w:rPr>
            </w:pPr>
            <w:r>
              <w:rPr>
                <w:rFonts w:ascii="Arial" w:cs="Arial" w:eastAsia="Arial" w:hAnsi="Arial"/>
                <w:sz w:val="22"/>
                <w:szCs w:val="22"/>
                <w:color w:val="auto"/>
              </w:rPr>
              <w:t>Forfeited</w:t>
            </w:r>
          </w:p>
        </w:tc>
        <w:tc>
          <w:tcPr>
            <w:tcW w:w="1480" w:type="dxa"/>
            <w:vAlign w:val="bottom"/>
            <w:gridSpan w:val="2"/>
          </w:tcPr>
          <w:p>
            <w:pPr>
              <w:jc w:val="right"/>
              <w:ind w:right="180"/>
              <w:spacing w:after="0" w:line="243" w:lineRule="exact"/>
              <w:rPr>
                <w:sz w:val="20"/>
                <w:szCs w:val="20"/>
                <w:color w:val="auto"/>
              </w:rPr>
            </w:pPr>
            <w:r>
              <w:rPr>
                <w:rFonts w:ascii="Arial" w:cs="Arial" w:eastAsia="Arial" w:hAnsi="Arial"/>
                <w:sz w:val="22"/>
                <w:szCs w:val="22"/>
                <w:color w:val="auto"/>
              </w:rPr>
              <w:t>(10,911)</w:t>
            </w:r>
          </w:p>
        </w:tc>
        <w:tc>
          <w:tcPr>
            <w:tcW w:w="200" w:type="dxa"/>
            <w:vAlign w:val="bottom"/>
          </w:tcPr>
          <w:p>
            <w:pPr>
              <w:spacing w:after="0"/>
              <w:rPr>
                <w:sz w:val="21"/>
                <w:szCs w:val="21"/>
                <w:color w:val="auto"/>
              </w:rPr>
            </w:pPr>
          </w:p>
        </w:tc>
        <w:tc>
          <w:tcPr>
            <w:tcW w:w="1020" w:type="dxa"/>
            <w:vAlign w:val="bottom"/>
          </w:tcPr>
          <w:p>
            <w:pPr>
              <w:jc w:val="right"/>
              <w:spacing w:after="0" w:line="243" w:lineRule="exact"/>
              <w:rPr>
                <w:sz w:val="20"/>
                <w:szCs w:val="20"/>
                <w:color w:val="auto"/>
              </w:rPr>
            </w:pPr>
            <w:r>
              <w:rPr>
                <w:rFonts w:ascii="Arial" w:cs="Arial" w:eastAsia="Arial" w:hAnsi="Arial"/>
                <w:sz w:val="22"/>
                <w:szCs w:val="22"/>
                <w:color w:val="auto"/>
              </w:rPr>
              <w:t>31.32</w:t>
            </w:r>
          </w:p>
        </w:tc>
      </w:tr>
      <w:tr>
        <w:trPr>
          <w:trHeight w:val="243"/>
        </w:trPr>
        <w:tc>
          <w:tcPr>
            <w:tcW w:w="6840" w:type="dxa"/>
            <w:vAlign w:val="bottom"/>
            <w:shd w:val="clear" w:color="auto" w:fill="CCEEFF"/>
          </w:tcPr>
          <w:p>
            <w:pPr>
              <w:ind w:left="100"/>
              <w:spacing w:after="0" w:line="243" w:lineRule="exact"/>
              <w:rPr>
                <w:sz w:val="20"/>
                <w:szCs w:val="20"/>
                <w:color w:val="auto"/>
              </w:rPr>
            </w:pPr>
            <w:r>
              <w:rPr>
                <w:rFonts w:ascii="Arial" w:cs="Arial" w:eastAsia="Arial" w:hAnsi="Arial"/>
                <w:sz w:val="22"/>
                <w:szCs w:val="22"/>
                <w:color w:val="auto"/>
              </w:rPr>
              <w:t>Share units vested in prior period and issued in current period</w:t>
            </w:r>
          </w:p>
        </w:tc>
        <w:tc>
          <w:tcPr>
            <w:tcW w:w="1300" w:type="dxa"/>
            <w:vAlign w:val="bottom"/>
            <w:shd w:val="clear" w:color="auto" w:fill="CCEEFF"/>
          </w:tcPr>
          <w:p>
            <w:pPr>
              <w:jc w:val="right"/>
              <w:spacing w:after="0" w:line="243" w:lineRule="exact"/>
              <w:rPr>
                <w:sz w:val="20"/>
                <w:szCs w:val="20"/>
                <w:color w:val="auto"/>
              </w:rPr>
            </w:pPr>
            <w:r>
              <w:rPr>
                <w:rFonts w:ascii="Arial" w:cs="Arial" w:eastAsia="Arial" w:hAnsi="Arial"/>
                <w:sz w:val="22"/>
                <w:szCs w:val="22"/>
                <w:color w:val="auto"/>
              </w:rPr>
              <w:t>9,400</w:t>
            </w:r>
          </w:p>
        </w:tc>
        <w:tc>
          <w:tcPr>
            <w:tcW w:w="1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line="243" w:lineRule="exact"/>
              <w:rPr>
                <w:sz w:val="20"/>
                <w:szCs w:val="20"/>
                <w:color w:val="auto"/>
              </w:rPr>
            </w:pPr>
            <w:r>
              <w:rPr>
                <w:rFonts w:ascii="Arial" w:cs="Arial" w:eastAsia="Arial" w:hAnsi="Arial"/>
                <w:sz w:val="22"/>
                <w:szCs w:val="22"/>
                <w:color w:val="auto"/>
              </w:rPr>
              <w:t>26.54</w:t>
            </w:r>
          </w:p>
        </w:tc>
      </w:tr>
      <w:tr>
        <w:trPr>
          <w:trHeight w:val="243"/>
        </w:trPr>
        <w:tc>
          <w:tcPr>
            <w:tcW w:w="6840" w:type="dxa"/>
            <w:vAlign w:val="bottom"/>
          </w:tcPr>
          <w:p>
            <w:pPr>
              <w:ind w:left="100"/>
              <w:spacing w:after="0" w:line="243" w:lineRule="exact"/>
              <w:rPr>
                <w:sz w:val="20"/>
                <w:szCs w:val="20"/>
                <w:color w:val="auto"/>
              </w:rPr>
            </w:pPr>
            <w:r>
              <w:rPr>
                <w:rFonts w:ascii="Arial" w:cs="Arial" w:eastAsia="Arial" w:hAnsi="Arial"/>
                <w:sz w:val="22"/>
                <w:szCs w:val="22"/>
                <w:color w:val="auto"/>
              </w:rPr>
              <w:t>Share units issued</w:t>
            </w:r>
          </w:p>
        </w:tc>
        <w:tc>
          <w:tcPr>
            <w:tcW w:w="1480" w:type="dxa"/>
            <w:vAlign w:val="bottom"/>
            <w:gridSpan w:val="2"/>
          </w:tcPr>
          <w:p>
            <w:pPr>
              <w:jc w:val="right"/>
              <w:ind w:right="180"/>
              <w:spacing w:after="0" w:line="243" w:lineRule="exact"/>
              <w:rPr>
                <w:sz w:val="20"/>
                <w:szCs w:val="20"/>
                <w:color w:val="auto"/>
              </w:rPr>
            </w:pPr>
            <w:r>
              <w:rPr>
                <w:rFonts w:ascii="Arial" w:cs="Arial" w:eastAsia="Arial" w:hAnsi="Arial"/>
                <w:sz w:val="22"/>
                <w:szCs w:val="22"/>
                <w:color w:val="auto"/>
              </w:rPr>
              <w:t>(136,081)</w:t>
            </w:r>
          </w:p>
        </w:tc>
        <w:tc>
          <w:tcPr>
            <w:tcW w:w="200" w:type="dxa"/>
            <w:vAlign w:val="bottom"/>
          </w:tcPr>
          <w:p>
            <w:pPr>
              <w:spacing w:after="0"/>
              <w:rPr>
                <w:sz w:val="21"/>
                <w:szCs w:val="21"/>
                <w:color w:val="auto"/>
              </w:rPr>
            </w:pPr>
          </w:p>
        </w:tc>
        <w:tc>
          <w:tcPr>
            <w:tcW w:w="1020" w:type="dxa"/>
            <w:vAlign w:val="bottom"/>
          </w:tcPr>
          <w:p>
            <w:pPr>
              <w:jc w:val="right"/>
              <w:spacing w:after="0" w:line="243" w:lineRule="exact"/>
              <w:rPr>
                <w:sz w:val="20"/>
                <w:szCs w:val="20"/>
                <w:color w:val="auto"/>
              </w:rPr>
            </w:pPr>
            <w:r>
              <w:rPr>
                <w:rFonts w:ascii="Arial" w:cs="Arial" w:eastAsia="Arial" w:hAnsi="Arial"/>
                <w:sz w:val="22"/>
                <w:szCs w:val="22"/>
                <w:color w:val="auto"/>
              </w:rPr>
              <w:t>31.70</w:t>
            </w:r>
          </w:p>
        </w:tc>
      </w:tr>
      <w:tr>
        <w:trPr>
          <w:trHeight w:val="244"/>
        </w:trPr>
        <w:tc>
          <w:tcPr>
            <w:tcW w:w="6840" w:type="dxa"/>
            <w:vAlign w:val="bottom"/>
            <w:tcBorders>
              <w:top w:val="single" w:sz="8" w:color="CCEEFF"/>
              <w:bottom w:val="single" w:sz="8" w:color="CCEEFF"/>
            </w:tcBorders>
            <w:shd w:val="clear" w:color="auto" w:fill="CCEEFF"/>
          </w:tcPr>
          <w:p>
            <w:pPr>
              <w:spacing w:after="0" w:line="237" w:lineRule="exact"/>
              <w:rPr>
                <w:sz w:val="20"/>
                <w:szCs w:val="20"/>
                <w:color w:val="auto"/>
              </w:rPr>
            </w:pPr>
            <w:r>
              <w:rPr>
                <w:rFonts w:ascii="Arial" w:cs="Arial" w:eastAsia="Arial" w:hAnsi="Arial"/>
                <w:sz w:val="22"/>
                <w:szCs w:val="22"/>
                <w:color w:val="auto"/>
              </w:rPr>
              <w:t>Nonvested share units at end of period</w:t>
            </w:r>
          </w:p>
        </w:tc>
        <w:tc>
          <w:tcPr>
            <w:tcW w:w="1300" w:type="dxa"/>
            <w:vAlign w:val="bottom"/>
            <w:tcBorders>
              <w:top w:val="single" w:sz="8" w:color="auto"/>
              <w:bottom w:val="single" w:sz="8" w:color="auto"/>
            </w:tcBorders>
            <w:shd w:val="clear" w:color="auto" w:fill="CCEEFF"/>
          </w:tcPr>
          <w:p>
            <w:pPr>
              <w:jc w:val="right"/>
              <w:spacing w:after="0" w:line="237" w:lineRule="exact"/>
              <w:rPr>
                <w:sz w:val="20"/>
                <w:szCs w:val="20"/>
                <w:color w:val="auto"/>
              </w:rPr>
            </w:pPr>
            <w:r>
              <w:rPr>
                <w:rFonts w:ascii="Arial" w:cs="Arial" w:eastAsia="Arial" w:hAnsi="Arial"/>
                <w:sz w:val="22"/>
                <w:szCs w:val="22"/>
                <w:color w:val="auto"/>
              </w:rPr>
              <w:t>416,799</w:t>
            </w:r>
          </w:p>
        </w:tc>
        <w:tc>
          <w:tcPr>
            <w:tcW w:w="18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CCEEFF"/>
              <w:bottom w:val="single" w:sz="8" w:color="CCEEFF"/>
            </w:tcBorders>
            <w:shd w:val="clear" w:color="auto" w:fill="CCEEFF"/>
          </w:tcPr>
          <w:p>
            <w:pPr>
              <w:spacing w:after="0"/>
              <w:rPr>
                <w:sz w:val="21"/>
                <w:szCs w:val="21"/>
                <w:color w:val="auto"/>
              </w:rPr>
            </w:pPr>
          </w:p>
        </w:tc>
        <w:tc>
          <w:tcPr>
            <w:tcW w:w="1020" w:type="dxa"/>
            <w:vAlign w:val="bottom"/>
            <w:tcBorders>
              <w:top w:val="single" w:sz="8" w:color="CCEEFF"/>
              <w:bottom w:val="single" w:sz="8" w:color="CCEEFF"/>
            </w:tcBorders>
            <w:shd w:val="clear" w:color="auto" w:fill="CCEEFF"/>
          </w:tcPr>
          <w:p>
            <w:pPr>
              <w:jc w:val="right"/>
              <w:spacing w:after="0" w:line="237" w:lineRule="exact"/>
              <w:rPr>
                <w:sz w:val="20"/>
                <w:szCs w:val="20"/>
                <w:color w:val="auto"/>
              </w:rPr>
            </w:pPr>
            <w:r>
              <w:rPr>
                <w:rFonts w:ascii="Arial" w:cs="Arial" w:eastAsia="Arial" w:hAnsi="Arial"/>
                <w:sz w:val="22"/>
                <w:szCs w:val="22"/>
                <w:color w:val="auto"/>
              </w:rPr>
              <w:t>26.87</w:t>
            </w:r>
          </w:p>
        </w:tc>
      </w:tr>
    </w:tbl>
    <w:p>
      <w:pPr>
        <w:spacing w:after="0" w:line="200" w:lineRule="exact"/>
        <w:rPr>
          <w:sz w:val="20"/>
          <w:szCs w:val="20"/>
          <w:color w:val="auto"/>
        </w:rPr>
      </w:pPr>
    </w:p>
    <w:p>
      <w:pPr>
        <w:spacing w:after="0" w:line="278" w:lineRule="exact"/>
        <w:rPr>
          <w:sz w:val="20"/>
          <w:szCs w:val="20"/>
          <w:color w:val="auto"/>
        </w:rPr>
      </w:pPr>
    </w:p>
    <w:p>
      <w:pPr>
        <w:spacing w:after="0" w:line="272" w:lineRule="auto"/>
        <w:rPr>
          <w:sz w:val="20"/>
          <w:szCs w:val="20"/>
          <w:color w:val="auto"/>
        </w:rPr>
      </w:pPr>
      <w:r>
        <w:rPr>
          <w:rFonts w:ascii="Arial" w:cs="Arial" w:eastAsia="Arial" w:hAnsi="Arial"/>
          <w:sz w:val="19"/>
          <w:szCs w:val="19"/>
          <w:color w:val="auto"/>
        </w:rPr>
        <w:t>A portion of the fair value of PSUs was estimated at the grant date based on the probability of satisfying the market-based conditions using the Monte Carlo valuation method, which assesses probabilities of various outcomes of market conditions. The other portion of the fair value of the PSUs is based on the fair market value of the Company’s stock at the grant date, regardless of whether the market-based condition is satisfied. The per unit weighted-average fair value at the date of grant for PSUs granted during the nine months ended September 30, 2018 and 2017 was $37.42 and $30.79, respectively. The fair value of each PSU grant is amortized monthly into compensation expense on a straight-line basis over their respective vesting periods, generally 36 months. The accrual of compensation costs is based on the Company’s estimate of the final expected value of the award, and is adjusted as required for the portion based on the performance-based condition. The Company assumes that forfeitures will be minimal, and recognizes forfeitures as they occur, which results in a reduction in compensation expense. As the payout of the PSUs includes dividend equivalents, no separate dividend yield assumption is</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63500</wp:posOffset>
            </wp:positionV>
            <wp:extent cx="6114415" cy="514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114415" cy="51435"/>
                    </a:xfrm>
                    <a:prstGeom prst="rect">
                      <a:avLst/>
                    </a:prstGeom>
                    <a:noFill/>
                  </pic:spPr>
                </pic:pic>
              </a:graphicData>
            </a:graphic>
          </wp:anchor>
        </w:drawing>
      </w:r>
    </w:p>
    <w:p>
      <w:pPr>
        <w:sectPr>
          <w:pgSz w:w="11900" w:h="16838" w:orient="portrait"/>
          <w:cols w:equalWidth="0" w:num="1">
            <w:col w:w="9540"/>
          </w:cols>
          <w:pgMar w:left="1220" w:top="118" w:right="1139" w:bottom="1440" w:gutter="0" w:footer="0" w:header="0"/>
        </w:sectPr>
      </w:pPr>
    </w:p>
    <w:bookmarkStart w:id="20" w:name="page21"/>
    <w:bookmarkEnd w:id="20"/>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AQUA AMERICA, INC. AND SUBSIDIARIES NOTES TO CONSOLIDATED FINANCIAL STATEMENTS (continued) (In thousands of dollars, except per share amounts) (UNAUDITED)</w:t>
      </w:r>
    </w:p>
    <w:p>
      <w:pPr>
        <w:spacing w:after="0" w:line="200" w:lineRule="exact"/>
        <w:rPr>
          <w:sz w:val="20"/>
          <w:szCs w:val="20"/>
          <w:color w:val="auto"/>
        </w:rPr>
      </w:pPr>
    </w:p>
    <w:p>
      <w:pPr>
        <w:spacing w:after="0" w:line="239" w:lineRule="exact"/>
        <w:rPr>
          <w:sz w:val="20"/>
          <w:szCs w:val="20"/>
          <w:color w:val="auto"/>
        </w:rPr>
      </w:pPr>
    </w:p>
    <w:p>
      <w:pPr>
        <w:ind w:right="260"/>
        <w:spacing w:after="0" w:line="251" w:lineRule="auto"/>
        <w:rPr>
          <w:sz w:val="20"/>
          <w:szCs w:val="20"/>
          <w:color w:val="auto"/>
        </w:rPr>
      </w:pPr>
      <w:r>
        <w:rPr>
          <w:rFonts w:ascii="Arial" w:cs="Arial" w:eastAsia="Arial" w:hAnsi="Arial"/>
          <w:sz w:val="22"/>
          <w:szCs w:val="22"/>
          <w:color w:val="auto"/>
        </w:rPr>
        <w:t>required in calculating the fair value of the PSUs. The recording of compensation expense for PSUs has no impact on net cash flows.</w:t>
      </w:r>
    </w:p>
    <w:p>
      <w:pPr>
        <w:spacing w:after="0" w:line="200" w:lineRule="exact"/>
        <w:rPr>
          <w:sz w:val="20"/>
          <w:szCs w:val="20"/>
          <w:color w:val="auto"/>
        </w:rPr>
      </w:pPr>
    </w:p>
    <w:p>
      <w:pPr>
        <w:ind w:right="60"/>
        <w:spacing w:after="0" w:line="247" w:lineRule="auto"/>
        <w:rPr>
          <w:sz w:val="20"/>
          <w:szCs w:val="20"/>
          <w:color w:val="auto"/>
        </w:rPr>
      </w:pPr>
      <w:r>
        <w:rPr>
          <w:rFonts w:ascii="Arial" w:cs="Arial" w:eastAsia="Arial" w:hAnsi="Arial"/>
          <w:sz w:val="21"/>
          <w:szCs w:val="21"/>
          <w:b w:val="1"/>
          <w:bCs w:val="1"/>
          <w:i w:val="1"/>
          <w:iCs w:val="1"/>
          <w:color w:val="auto"/>
        </w:rPr>
        <w:t xml:space="preserve">Restricted Stock Units </w:t>
      </w:r>
      <w:r>
        <w:rPr>
          <w:rFonts w:ascii="Arial" w:cs="Arial" w:eastAsia="Arial" w:hAnsi="Arial"/>
          <w:sz w:val="21"/>
          <w:szCs w:val="21"/>
          <w:i w:val="1"/>
          <w:iCs w:val="1"/>
          <w:color w:val="auto"/>
        </w:rPr>
        <w:t>–</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A restricted stock unit (“RSU”) represents the right to receive a share of the</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Company’s common stock. RSUs are eligible to be earned at the end of a specified restricted period, generally three years, beginning on the date of grant. The Company assumes that forfeitures will be minimal, and recognizes forfeitures as they occur, which results in a reduction in compensation expense. As the payout of the RSUs includes dividend equivalents, no separate dividend yield assumption is required in calculating the fair value of the RSUs. The following table provides the compensation cost and income tax benefit for stock-based compensation related to RSUs:</w:t>
      </w:r>
    </w:p>
    <w:p>
      <w:pPr>
        <w:spacing w:after="0" w:line="60"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4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400" w:type="dxa"/>
            <w:vAlign w:val="bottom"/>
            <w:gridSpan w:val="5"/>
          </w:tcPr>
          <w:p>
            <w:pPr>
              <w:jc w:val="center"/>
              <w:ind w:right="460"/>
              <w:spacing w:after="0"/>
              <w:rPr>
                <w:sz w:val="20"/>
                <w:szCs w:val="20"/>
                <w:color w:val="auto"/>
              </w:rPr>
            </w:pPr>
            <w:r>
              <w:rPr>
                <w:rFonts w:ascii="Arial" w:cs="Arial" w:eastAsia="Arial" w:hAnsi="Arial"/>
                <w:sz w:val="22"/>
                <w:szCs w:val="22"/>
                <w:color w:val="auto"/>
                <w:w w:val="88"/>
              </w:rPr>
              <w:t>Three Months Ended</w:t>
            </w:r>
          </w:p>
        </w:tc>
        <w:tc>
          <w:tcPr>
            <w:tcW w:w="320" w:type="dxa"/>
            <w:vAlign w:val="bottom"/>
          </w:tcPr>
          <w:p>
            <w:pPr>
              <w:spacing w:after="0"/>
              <w:rPr>
                <w:sz w:val="21"/>
                <w:szCs w:val="21"/>
                <w:color w:val="auto"/>
              </w:rPr>
            </w:pPr>
          </w:p>
        </w:tc>
        <w:tc>
          <w:tcPr>
            <w:tcW w:w="2480" w:type="dxa"/>
            <w:vAlign w:val="bottom"/>
            <w:gridSpan w:val="4"/>
          </w:tcPr>
          <w:p>
            <w:pPr>
              <w:jc w:val="right"/>
              <w:ind w:right="412"/>
              <w:spacing w:after="0"/>
              <w:rPr>
                <w:sz w:val="20"/>
                <w:szCs w:val="20"/>
                <w:color w:val="auto"/>
              </w:rPr>
            </w:pPr>
            <w:r>
              <w:rPr>
                <w:rFonts w:ascii="Arial" w:cs="Arial" w:eastAsia="Arial" w:hAnsi="Arial"/>
                <w:sz w:val="22"/>
                <w:szCs w:val="22"/>
                <w:color w:val="auto"/>
              </w:rPr>
              <w:t>Nine Months Ended</w:t>
            </w:r>
          </w:p>
        </w:tc>
      </w:tr>
      <w:tr>
        <w:trPr>
          <w:trHeight w:val="265"/>
        </w:trPr>
        <w:tc>
          <w:tcPr>
            <w:tcW w:w="4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400" w:type="dxa"/>
            <w:vAlign w:val="bottom"/>
            <w:gridSpan w:val="5"/>
          </w:tcPr>
          <w:p>
            <w:pPr>
              <w:jc w:val="center"/>
              <w:ind w:right="440"/>
              <w:spacing w:after="0"/>
              <w:rPr>
                <w:sz w:val="20"/>
                <w:szCs w:val="20"/>
                <w:color w:val="auto"/>
              </w:rPr>
            </w:pPr>
            <w:r>
              <w:rPr>
                <w:rFonts w:ascii="Arial" w:cs="Arial" w:eastAsia="Arial" w:hAnsi="Arial"/>
                <w:sz w:val="22"/>
                <w:szCs w:val="22"/>
                <w:color w:val="auto"/>
                <w:w w:val="85"/>
              </w:rPr>
              <w:t>September 30,</w:t>
            </w:r>
          </w:p>
        </w:tc>
        <w:tc>
          <w:tcPr>
            <w:tcW w:w="320" w:type="dxa"/>
            <w:vAlign w:val="bottom"/>
          </w:tcPr>
          <w:p>
            <w:pPr>
              <w:spacing w:after="0"/>
              <w:rPr>
                <w:sz w:val="23"/>
                <w:szCs w:val="23"/>
                <w:color w:val="auto"/>
              </w:rPr>
            </w:pPr>
          </w:p>
        </w:tc>
        <w:tc>
          <w:tcPr>
            <w:tcW w:w="2480" w:type="dxa"/>
            <w:vAlign w:val="bottom"/>
            <w:gridSpan w:val="4"/>
          </w:tcPr>
          <w:p>
            <w:pPr>
              <w:jc w:val="right"/>
              <w:ind w:right="672"/>
              <w:spacing w:after="0"/>
              <w:rPr>
                <w:sz w:val="20"/>
                <w:szCs w:val="20"/>
                <w:color w:val="auto"/>
              </w:rPr>
            </w:pPr>
            <w:r>
              <w:rPr>
                <w:rFonts w:ascii="Arial" w:cs="Arial" w:eastAsia="Arial" w:hAnsi="Arial"/>
                <w:sz w:val="22"/>
                <w:szCs w:val="22"/>
                <w:color w:val="auto"/>
              </w:rPr>
              <w:t>September 30,</w:t>
            </w:r>
          </w:p>
        </w:tc>
      </w:tr>
      <w:tr>
        <w:trPr>
          <w:trHeight w:val="237"/>
        </w:trPr>
        <w:tc>
          <w:tcPr>
            <w:tcW w:w="4100" w:type="dxa"/>
            <w:vAlign w:val="bottom"/>
            <w:tcBorders>
              <w:bottom w:val="single" w:sz="8" w:color="CCEEFF"/>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60" w:type="dxa"/>
            <w:vAlign w:val="bottom"/>
            <w:tcBorders>
              <w:top w:val="single" w:sz="8" w:color="auto"/>
              <w:bottom w:val="single" w:sz="8" w:color="auto"/>
            </w:tcBorders>
          </w:tcPr>
          <w:p>
            <w:pPr>
              <w:jc w:val="right"/>
              <w:ind w:right="232"/>
              <w:spacing w:after="0" w:line="237" w:lineRule="exact"/>
              <w:rPr>
                <w:sz w:val="20"/>
                <w:szCs w:val="20"/>
                <w:color w:val="auto"/>
              </w:rPr>
            </w:pPr>
            <w:r>
              <w:rPr>
                <w:rFonts w:ascii="Arial" w:cs="Arial" w:eastAsia="Arial" w:hAnsi="Arial"/>
                <w:sz w:val="22"/>
                <w:szCs w:val="22"/>
                <w:color w:val="auto"/>
              </w:rPr>
              <w:t>2018</w:t>
            </w:r>
          </w:p>
        </w:tc>
        <w:tc>
          <w:tcPr>
            <w:tcW w:w="180" w:type="dxa"/>
            <w:vAlign w:val="bottom"/>
            <w:tcBorders>
              <w:top w:val="single" w:sz="8" w:color="auto"/>
              <w:bottom w:val="single" w:sz="8" w:color="CCEEFF"/>
            </w:tcBorders>
          </w:tcPr>
          <w:p>
            <w:pPr>
              <w:spacing w:after="0"/>
              <w:rPr>
                <w:sz w:val="20"/>
                <w:szCs w:val="20"/>
                <w:color w:val="auto"/>
              </w:rPr>
            </w:pPr>
          </w:p>
        </w:tc>
        <w:tc>
          <w:tcPr>
            <w:tcW w:w="28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52"/>
              <w:spacing w:after="0" w:line="237" w:lineRule="exact"/>
              <w:rPr>
                <w:sz w:val="20"/>
                <w:szCs w:val="20"/>
                <w:color w:val="auto"/>
              </w:rPr>
            </w:pPr>
            <w:r>
              <w:rPr>
                <w:rFonts w:ascii="Arial" w:cs="Arial" w:eastAsia="Arial" w:hAnsi="Arial"/>
                <w:sz w:val="22"/>
                <w:szCs w:val="22"/>
                <w:color w:val="auto"/>
              </w:rPr>
              <w:t>2017</w:t>
            </w:r>
          </w:p>
        </w:tc>
        <w:tc>
          <w:tcPr>
            <w:tcW w:w="200" w:type="dxa"/>
            <w:vAlign w:val="bottom"/>
            <w:tcBorders>
              <w:bottom w:val="single" w:sz="8" w:color="CCEEFF"/>
            </w:tcBorders>
          </w:tcPr>
          <w:p>
            <w:pPr>
              <w:spacing w:after="0"/>
              <w:rPr>
                <w:sz w:val="20"/>
                <w:szCs w:val="20"/>
                <w:color w:val="auto"/>
              </w:rPr>
            </w:pPr>
          </w:p>
        </w:tc>
        <w:tc>
          <w:tcPr>
            <w:tcW w:w="320" w:type="dxa"/>
            <w:vAlign w:val="bottom"/>
            <w:tcBorders>
              <w:top w:val="single" w:sz="8" w:color="auto"/>
              <w:bottom w:val="single" w:sz="8" w:color="auto"/>
            </w:tcBorders>
          </w:tcPr>
          <w:p>
            <w:pPr>
              <w:spacing w:after="0"/>
              <w:rPr>
                <w:sz w:val="20"/>
                <w:szCs w:val="20"/>
                <w:color w:val="auto"/>
              </w:rPr>
            </w:pPr>
          </w:p>
        </w:tc>
        <w:tc>
          <w:tcPr>
            <w:tcW w:w="1000" w:type="dxa"/>
            <w:vAlign w:val="bottom"/>
            <w:tcBorders>
              <w:top w:val="single" w:sz="8" w:color="auto"/>
              <w:bottom w:val="single" w:sz="8" w:color="auto"/>
            </w:tcBorders>
          </w:tcPr>
          <w:p>
            <w:pPr>
              <w:jc w:val="right"/>
              <w:ind w:right="332"/>
              <w:spacing w:after="0" w:line="237" w:lineRule="exact"/>
              <w:rPr>
                <w:sz w:val="20"/>
                <w:szCs w:val="20"/>
                <w:color w:val="auto"/>
              </w:rPr>
            </w:pPr>
            <w:r>
              <w:rPr>
                <w:rFonts w:ascii="Arial" w:cs="Arial" w:eastAsia="Arial" w:hAnsi="Arial"/>
                <w:sz w:val="22"/>
                <w:szCs w:val="22"/>
                <w:color w:val="auto"/>
              </w:rPr>
              <w:t>2018</w:t>
            </w:r>
          </w:p>
        </w:tc>
        <w:tc>
          <w:tcPr>
            <w:tcW w:w="180" w:type="dxa"/>
            <w:vAlign w:val="bottom"/>
            <w:tcBorders>
              <w:top w:val="single" w:sz="8" w:color="auto"/>
              <w:bottom w:val="single" w:sz="8" w:color="CCEEFF"/>
            </w:tcBorders>
          </w:tcPr>
          <w:p>
            <w:pPr>
              <w:spacing w:after="0"/>
              <w:rPr>
                <w:sz w:val="20"/>
                <w:szCs w:val="20"/>
                <w:color w:val="auto"/>
              </w:rPr>
            </w:pPr>
          </w:p>
        </w:tc>
        <w:tc>
          <w:tcPr>
            <w:tcW w:w="300" w:type="dxa"/>
            <w:vAlign w:val="bottom"/>
            <w:tcBorders>
              <w:top w:val="single" w:sz="8" w:color="auto"/>
              <w:bottom w:val="single" w:sz="8" w:color="auto"/>
            </w:tcBorders>
          </w:tcPr>
          <w:p>
            <w:pPr>
              <w:spacing w:after="0"/>
              <w:rPr>
                <w:sz w:val="20"/>
                <w:szCs w:val="20"/>
                <w:color w:val="auto"/>
              </w:rPr>
            </w:pPr>
          </w:p>
        </w:tc>
        <w:tc>
          <w:tcPr>
            <w:tcW w:w="1000" w:type="dxa"/>
            <w:vAlign w:val="bottom"/>
            <w:tcBorders>
              <w:top w:val="single" w:sz="8" w:color="auto"/>
              <w:bottom w:val="single" w:sz="8" w:color="auto"/>
            </w:tcBorders>
          </w:tcPr>
          <w:p>
            <w:pPr>
              <w:jc w:val="right"/>
              <w:ind w:right="332"/>
              <w:spacing w:after="0" w:line="237" w:lineRule="exact"/>
              <w:rPr>
                <w:sz w:val="20"/>
                <w:szCs w:val="20"/>
                <w:color w:val="auto"/>
              </w:rPr>
            </w:pPr>
            <w:r>
              <w:rPr>
                <w:rFonts w:ascii="Arial" w:cs="Arial" w:eastAsia="Arial" w:hAnsi="Arial"/>
                <w:sz w:val="22"/>
                <w:szCs w:val="22"/>
                <w:color w:val="auto"/>
              </w:rPr>
              <w:t>2017</w:t>
            </w:r>
          </w:p>
        </w:tc>
      </w:tr>
      <w:tr>
        <w:trPr>
          <w:trHeight w:val="202"/>
        </w:trPr>
        <w:tc>
          <w:tcPr>
            <w:tcW w:w="4100" w:type="dxa"/>
            <w:vAlign w:val="bottom"/>
            <w:shd w:val="clear" w:color="auto" w:fill="CCEEFF"/>
          </w:tcPr>
          <w:p>
            <w:pPr>
              <w:spacing w:after="0" w:line="202" w:lineRule="exact"/>
              <w:rPr>
                <w:sz w:val="20"/>
                <w:szCs w:val="20"/>
                <w:color w:val="auto"/>
              </w:rPr>
            </w:pPr>
            <w:r>
              <w:rPr>
                <w:rFonts w:ascii="Arial" w:cs="Arial" w:eastAsia="Arial" w:hAnsi="Arial"/>
                <w:sz w:val="22"/>
                <w:szCs w:val="22"/>
                <w:color w:val="auto"/>
                <w:w w:val="93"/>
              </w:rPr>
              <w:t>Stock-based compensation within operations</w:t>
            </w: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r>
      <w:tr>
        <w:trPr>
          <w:trHeight w:val="265"/>
        </w:trPr>
        <w:tc>
          <w:tcPr>
            <w:tcW w:w="4100" w:type="dxa"/>
            <w:vAlign w:val="bottom"/>
            <w:shd w:val="clear" w:color="auto" w:fill="CCEEFF"/>
          </w:tcPr>
          <w:p>
            <w:pPr>
              <w:spacing w:after="0"/>
              <w:rPr>
                <w:sz w:val="20"/>
                <w:szCs w:val="20"/>
                <w:color w:val="auto"/>
              </w:rPr>
            </w:pPr>
            <w:r>
              <w:rPr>
                <w:rFonts w:ascii="Arial" w:cs="Arial" w:eastAsia="Arial" w:hAnsi="Arial"/>
                <w:sz w:val="22"/>
                <w:szCs w:val="22"/>
                <w:color w:val="auto"/>
              </w:rPr>
              <w:t>and maintenance expenses</w:t>
            </w:r>
          </w:p>
        </w:tc>
        <w:tc>
          <w:tcPr>
            <w:tcW w:w="240" w:type="dxa"/>
            <w:vAlign w:val="bottom"/>
            <w:shd w:val="clear" w:color="auto" w:fill="CCEEFF"/>
          </w:tcPr>
          <w:p>
            <w:pPr>
              <w:jc w:val="right"/>
              <w:spacing w:after="0"/>
              <w:rPr>
                <w:sz w:val="20"/>
                <w:szCs w:val="20"/>
                <w:color w:val="auto"/>
              </w:rPr>
            </w:pPr>
            <w:r>
              <w:rPr>
                <w:rFonts w:ascii="Arial" w:cs="Arial" w:eastAsia="Arial" w:hAnsi="Arial"/>
                <w:sz w:val="22"/>
                <w:szCs w:val="22"/>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22"/>
                <w:szCs w:val="22"/>
                <w:color w:val="auto"/>
              </w:rPr>
              <w:t>493</w:t>
            </w:r>
          </w:p>
        </w:tc>
        <w:tc>
          <w:tcPr>
            <w:tcW w:w="180" w:type="dxa"/>
            <w:vAlign w:val="bottom"/>
            <w:shd w:val="clear" w:color="auto" w:fill="CCEEFF"/>
          </w:tcPr>
          <w:p>
            <w:pPr>
              <w:spacing w:after="0"/>
              <w:rPr>
                <w:sz w:val="23"/>
                <w:szCs w:val="23"/>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22"/>
                <w:szCs w:val="22"/>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22"/>
                <w:szCs w:val="22"/>
                <w:color w:val="auto"/>
              </w:rPr>
              <w:t>311</w:t>
            </w:r>
          </w:p>
        </w:tc>
        <w:tc>
          <w:tcPr>
            <w:tcW w:w="200" w:type="dxa"/>
            <w:vAlign w:val="bottom"/>
            <w:shd w:val="clear" w:color="auto" w:fill="CCEEFF"/>
          </w:tcPr>
          <w:p>
            <w:pPr>
              <w:spacing w:after="0"/>
              <w:rPr>
                <w:sz w:val="23"/>
                <w:szCs w:val="23"/>
                <w:color w:val="auto"/>
              </w:rPr>
            </w:pPr>
          </w:p>
        </w:tc>
        <w:tc>
          <w:tcPr>
            <w:tcW w:w="320" w:type="dxa"/>
            <w:vAlign w:val="bottom"/>
            <w:shd w:val="clear" w:color="auto" w:fill="CCEEFF"/>
          </w:tcPr>
          <w:p>
            <w:pPr>
              <w:jc w:val="right"/>
              <w:ind w:right="32"/>
              <w:spacing w:after="0"/>
              <w:rPr>
                <w:sz w:val="20"/>
                <w:szCs w:val="20"/>
                <w:color w:val="auto"/>
              </w:rPr>
            </w:pPr>
            <w:r>
              <w:rPr>
                <w:rFonts w:ascii="Arial" w:cs="Arial" w:eastAsia="Arial" w:hAnsi="Arial"/>
                <w:sz w:val="22"/>
                <w:szCs w:val="22"/>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22"/>
                <w:szCs w:val="22"/>
                <w:color w:val="auto"/>
              </w:rPr>
              <w:t>1,199</w:t>
            </w:r>
          </w:p>
        </w:tc>
        <w:tc>
          <w:tcPr>
            <w:tcW w:w="180" w:type="dxa"/>
            <w:vAlign w:val="bottom"/>
            <w:shd w:val="clear" w:color="auto" w:fill="CCEEFF"/>
          </w:tcPr>
          <w:p>
            <w:pPr>
              <w:spacing w:after="0"/>
              <w:rPr>
                <w:sz w:val="23"/>
                <w:szCs w:val="23"/>
                <w:color w:val="auto"/>
              </w:rPr>
            </w:pPr>
          </w:p>
        </w:tc>
        <w:tc>
          <w:tcPr>
            <w:tcW w:w="300" w:type="dxa"/>
            <w:vAlign w:val="bottom"/>
            <w:shd w:val="clear" w:color="auto" w:fill="CCEEFF"/>
          </w:tcPr>
          <w:p>
            <w:pPr>
              <w:jc w:val="right"/>
              <w:ind w:right="12"/>
              <w:spacing w:after="0"/>
              <w:rPr>
                <w:sz w:val="20"/>
                <w:szCs w:val="20"/>
                <w:color w:val="auto"/>
              </w:rPr>
            </w:pPr>
            <w:r>
              <w:rPr>
                <w:rFonts w:ascii="Arial" w:cs="Arial" w:eastAsia="Arial" w:hAnsi="Arial"/>
                <w:sz w:val="22"/>
                <w:szCs w:val="22"/>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22"/>
                <w:szCs w:val="22"/>
                <w:color w:val="auto"/>
              </w:rPr>
              <w:t>915</w:t>
            </w:r>
          </w:p>
        </w:tc>
      </w:tr>
      <w:tr>
        <w:trPr>
          <w:trHeight w:val="275"/>
        </w:trPr>
        <w:tc>
          <w:tcPr>
            <w:tcW w:w="4100" w:type="dxa"/>
            <w:vAlign w:val="bottom"/>
          </w:tcPr>
          <w:p>
            <w:pPr>
              <w:spacing w:after="0"/>
              <w:rPr>
                <w:sz w:val="20"/>
                <w:szCs w:val="20"/>
                <w:color w:val="auto"/>
              </w:rPr>
            </w:pPr>
            <w:r>
              <w:rPr>
                <w:rFonts w:ascii="Arial" w:cs="Arial" w:eastAsia="Arial" w:hAnsi="Arial"/>
                <w:sz w:val="22"/>
                <w:szCs w:val="22"/>
                <w:color w:val="auto"/>
              </w:rPr>
              <w:t>Income tax benefit</w:t>
            </w:r>
          </w:p>
        </w:tc>
        <w:tc>
          <w:tcPr>
            <w:tcW w:w="24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22"/>
                <w:szCs w:val="22"/>
                <w:color w:val="auto"/>
              </w:rPr>
              <w:t>140</w:t>
            </w:r>
          </w:p>
        </w:tc>
        <w:tc>
          <w:tcPr>
            <w:tcW w:w="1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22"/>
                <w:szCs w:val="22"/>
                <w:color w:val="auto"/>
              </w:rPr>
              <w:t>129</w:t>
            </w:r>
          </w:p>
        </w:tc>
        <w:tc>
          <w:tcPr>
            <w:tcW w:w="2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22"/>
                <w:szCs w:val="22"/>
                <w:color w:val="auto"/>
              </w:rPr>
              <w:t>341</w:t>
            </w:r>
          </w:p>
        </w:tc>
        <w:tc>
          <w:tcPr>
            <w:tcW w:w="1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22"/>
                <w:szCs w:val="22"/>
                <w:color w:val="auto"/>
              </w:rPr>
              <w:t>378</w:t>
            </w:r>
          </w:p>
        </w:tc>
      </w:tr>
    </w:tbl>
    <w:p>
      <w:pPr>
        <w:spacing w:after="0" w:line="204" w:lineRule="exact"/>
        <w:rPr>
          <w:sz w:val="20"/>
          <w:szCs w:val="20"/>
          <w:color w:val="auto"/>
        </w:rPr>
      </w:pPr>
    </w:p>
    <w:p>
      <w:pPr>
        <w:spacing w:after="0"/>
        <w:rPr>
          <w:sz w:val="20"/>
          <w:szCs w:val="20"/>
          <w:color w:val="auto"/>
        </w:rPr>
      </w:pPr>
      <w:r>
        <w:rPr>
          <w:rFonts w:ascii="Arial" w:cs="Arial" w:eastAsia="Arial" w:hAnsi="Arial"/>
          <w:sz w:val="21"/>
          <w:szCs w:val="21"/>
          <w:color w:val="auto"/>
        </w:rPr>
        <w:t>The following table summarizes the RSU transactions for the nine months ended September 30, 2018:</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6740" w:type="dxa"/>
            <w:vAlign w:val="bottom"/>
          </w:tcPr>
          <w:p>
            <w:pPr>
              <w:spacing w:after="0"/>
              <w:rPr>
                <w:sz w:val="21"/>
                <w:szCs w:val="21"/>
                <w:color w:val="auto"/>
              </w:rPr>
            </w:pPr>
          </w:p>
        </w:tc>
        <w:tc>
          <w:tcPr>
            <w:tcW w:w="1220" w:type="dxa"/>
            <w:vAlign w:val="bottom"/>
          </w:tcPr>
          <w:p>
            <w:pPr>
              <w:jc w:val="center"/>
              <w:spacing w:after="0"/>
              <w:rPr>
                <w:sz w:val="20"/>
                <w:szCs w:val="20"/>
                <w:color w:val="auto"/>
              </w:rPr>
            </w:pPr>
            <w:r>
              <w:rPr>
                <w:rFonts w:ascii="Arial" w:cs="Arial" w:eastAsia="Arial" w:hAnsi="Arial"/>
                <w:sz w:val="22"/>
                <w:szCs w:val="22"/>
                <w:color w:val="auto"/>
                <w:w w:val="89"/>
              </w:rPr>
              <w:t>Number</w:t>
            </w: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jc w:val="center"/>
              <w:ind w:right="112"/>
              <w:spacing w:after="0"/>
              <w:rPr>
                <w:sz w:val="20"/>
                <w:szCs w:val="20"/>
                <w:color w:val="auto"/>
              </w:rPr>
            </w:pPr>
            <w:r>
              <w:rPr>
                <w:rFonts w:ascii="Arial" w:cs="Arial" w:eastAsia="Arial" w:hAnsi="Arial"/>
                <w:sz w:val="22"/>
                <w:szCs w:val="22"/>
                <w:color w:val="auto"/>
                <w:w w:val="88"/>
              </w:rPr>
              <w:t>Weighted</w:t>
            </w:r>
          </w:p>
        </w:tc>
      </w:tr>
      <w:tr>
        <w:trPr>
          <w:trHeight w:val="243"/>
        </w:trPr>
        <w:tc>
          <w:tcPr>
            <w:tcW w:w="6740" w:type="dxa"/>
            <w:vAlign w:val="bottom"/>
          </w:tcPr>
          <w:p>
            <w:pPr>
              <w:spacing w:after="0"/>
              <w:rPr>
                <w:sz w:val="21"/>
                <w:szCs w:val="21"/>
                <w:color w:val="auto"/>
              </w:rPr>
            </w:pPr>
          </w:p>
        </w:tc>
        <w:tc>
          <w:tcPr>
            <w:tcW w:w="1220" w:type="dxa"/>
            <w:vAlign w:val="bottom"/>
          </w:tcPr>
          <w:p>
            <w:pPr>
              <w:jc w:val="center"/>
              <w:spacing w:after="0" w:line="243" w:lineRule="exact"/>
              <w:rPr>
                <w:sz w:val="20"/>
                <w:szCs w:val="20"/>
                <w:color w:val="auto"/>
              </w:rPr>
            </w:pPr>
            <w:r>
              <w:rPr>
                <w:rFonts w:ascii="Arial" w:cs="Arial" w:eastAsia="Arial" w:hAnsi="Arial"/>
                <w:sz w:val="22"/>
                <w:szCs w:val="22"/>
                <w:color w:val="auto"/>
                <w:w w:val="97"/>
              </w:rPr>
              <w:t>of</w:t>
            </w: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jc w:val="center"/>
              <w:ind w:right="92"/>
              <w:spacing w:after="0" w:line="243" w:lineRule="exact"/>
              <w:rPr>
                <w:sz w:val="20"/>
                <w:szCs w:val="20"/>
                <w:color w:val="auto"/>
              </w:rPr>
            </w:pPr>
            <w:r>
              <w:rPr>
                <w:rFonts w:ascii="Arial" w:cs="Arial" w:eastAsia="Arial" w:hAnsi="Arial"/>
                <w:sz w:val="22"/>
                <w:szCs w:val="22"/>
                <w:color w:val="auto"/>
                <w:w w:val="87"/>
              </w:rPr>
              <w:t>Average</w:t>
            </w:r>
          </w:p>
        </w:tc>
      </w:tr>
      <w:tr>
        <w:trPr>
          <w:trHeight w:val="265"/>
        </w:trPr>
        <w:tc>
          <w:tcPr>
            <w:tcW w:w="6740" w:type="dxa"/>
            <w:vAlign w:val="bottom"/>
            <w:tcBorders>
              <w:bottom w:val="single" w:sz="8" w:color="CCEEFF"/>
            </w:tcBorders>
          </w:tcPr>
          <w:p>
            <w:pPr>
              <w:spacing w:after="0"/>
              <w:rPr>
                <w:sz w:val="23"/>
                <w:szCs w:val="23"/>
                <w:color w:val="auto"/>
              </w:rPr>
            </w:pP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22"/>
                <w:szCs w:val="22"/>
                <w:color w:val="auto"/>
                <w:w w:val="91"/>
              </w:rPr>
              <w:t>Stock Units</w:t>
            </w:r>
          </w:p>
        </w:tc>
        <w:tc>
          <w:tcPr>
            <w:tcW w:w="20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center"/>
              <w:ind w:right="112"/>
              <w:spacing w:after="0"/>
              <w:rPr>
                <w:sz w:val="20"/>
                <w:szCs w:val="20"/>
                <w:color w:val="auto"/>
              </w:rPr>
            </w:pPr>
            <w:r>
              <w:rPr>
                <w:rFonts w:ascii="Arial" w:cs="Arial" w:eastAsia="Arial" w:hAnsi="Arial"/>
                <w:sz w:val="22"/>
                <w:szCs w:val="22"/>
                <w:color w:val="auto"/>
                <w:w w:val="89"/>
              </w:rPr>
              <w:t>Fair Value</w:t>
            </w:r>
          </w:p>
        </w:tc>
      </w:tr>
      <w:tr>
        <w:trPr>
          <w:trHeight w:val="237"/>
        </w:trPr>
        <w:tc>
          <w:tcPr>
            <w:tcW w:w="6740" w:type="dxa"/>
            <w:vAlign w:val="bottom"/>
            <w:shd w:val="clear" w:color="auto" w:fill="CCEEFF"/>
          </w:tcPr>
          <w:p>
            <w:pPr>
              <w:spacing w:after="0" w:line="237" w:lineRule="exact"/>
              <w:rPr>
                <w:sz w:val="20"/>
                <w:szCs w:val="20"/>
                <w:color w:val="auto"/>
              </w:rPr>
            </w:pPr>
            <w:r>
              <w:rPr>
                <w:rFonts w:ascii="Arial" w:cs="Arial" w:eastAsia="Arial" w:hAnsi="Arial"/>
                <w:sz w:val="22"/>
                <w:szCs w:val="22"/>
                <w:color w:val="auto"/>
              </w:rPr>
              <w:t>Nonvested stock units at beginning of period</w:t>
            </w:r>
          </w:p>
        </w:tc>
        <w:tc>
          <w:tcPr>
            <w:tcW w:w="1220" w:type="dxa"/>
            <w:vAlign w:val="bottom"/>
            <w:shd w:val="clear" w:color="auto" w:fill="CCEEFF"/>
          </w:tcPr>
          <w:p>
            <w:pPr>
              <w:jc w:val="right"/>
              <w:spacing w:after="0" w:line="237" w:lineRule="exact"/>
              <w:rPr>
                <w:sz w:val="20"/>
                <w:szCs w:val="20"/>
                <w:color w:val="auto"/>
              </w:rPr>
            </w:pPr>
            <w:r>
              <w:rPr>
                <w:rFonts w:ascii="Arial" w:cs="Arial" w:eastAsia="Arial" w:hAnsi="Arial"/>
                <w:sz w:val="22"/>
                <w:szCs w:val="22"/>
                <w:color w:val="auto"/>
              </w:rPr>
              <w:t>116,787</w:t>
            </w:r>
          </w:p>
        </w:tc>
        <w:tc>
          <w:tcPr>
            <w:tcW w:w="200" w:type="dxa"/>
            <w:vAlign w:val="bottom"/>
            <w:shd w:val="clear" w:color="auto" w:fill="CCEEFF"/>
          </w:tcPr>
          <w:p>
            <w:pPr>
              <w:spacing w:after="0"/>
              <w:rPr>
                <w:sz w:val="20"/>
                <w:szCs w:val="20"/>
                <w:color w:val="auto"/>
              </w:rPr>
            </w:pPr>
          </w:p>
        </w:tc>
        <w:tc>
          <w:tcPr>
            <w:tcW w:w="220" w:type="dxa"/>
            <w:vAlign w:val="bottom"/>
            <w:shd w:val="clear" w:color="auto" w:fill="CCEEFF"/>
          </w:tcPr>
          <w:p>
            <w:pPr>
              <w:jc w:val="right"/>
              <w:spacing w:after="0" w:line="237" w:lineRule="exact"/>
              <w:rPr>
                <w:sz w:val="20"/>
                <w:szCs w:val="20"/>
                <w:color w:val="auto"/>
              </w:rPr>
            </w:pPr>
            <w:r>
              <w:rPr>
                <w:rFonts w:ascii="Arial" w:cs="Arial" w:eastAsia="Arial" w:hAnsi="Arial"/>
                <w:sz w:val="22"/>
                <w:szCs w:val="22"/>
                <w:color w:val="auto"/>
              </w:rPr>
              <w:t>$</w:t>
            </w:r>
          </w:p>
        </w:tc>
        <w:tc>
          <w:tcPr>
            <w:tcW w:w="1160" w:type="dxa"/>
            <w:vAlign w:val="bottom"/>
            <w:shd w:val="clear" w:color="auto" w:fill="CCEEFF"/>
          </w:tcPr>
          <w:p>
            <w:pPr>
              <w:jc w:val="right"/>
              <w:spacing w:after="0" w:line="237" w:lineRule="exact"/>
              <w:rPr>
                <w:sz w:val="20"/>
                <w:szCs w:val="20"/>
                <w:color w:val="auto"/>
              </w:rPr>
            </w:pPr>
            <w:r>
              <w:rPr>
                <w:rFonts w:ascii="Arial" w:cs="Arial" w:eastAsia="Arial" w:hAnsi="Arial"/>
                <w:sz w:val="22"/>
                <w:szCs w:val="22"/>
                <w:color w:val="auto"/>
              </w:rPr>
              <w:t>29.46</w:t>
            </w:r>
          </w:p>
        </w:tc>
      </w:tr>
      <w:tr>
        <w:trPr>
          <w:trHeight w:val="243"/>
        </w:trPr>
        <w:tc>
          <w:tcPr>
            <w:tcW w:w="6740" w:type="dxa"/>
            <w:vAlign w:val="bottom"/>
          </w:tcPr>
          <w:p>
            <w:pPr>
              <w:ind w:left="100"/>
              <w:spacing w:after="0" w:line="243" w:lineRule="exact"/>
              <w:rPr>
                <w:sz w:val="20"/>
                <w:szCs w:val="20"/>
                <w:color w:val="auto"/>
              </w:rPr>
            </w:pPr>
            <w:r>
              <w:rPr>
                <w:rFonts w:ascii="Arial" w:cs="Arial" w:eastAsia="Arial" w:hAnsi="Arial"/>
                <w:sz w:val="22"/>
                <w:szCs w:val="22"/>
                <w:color w:val="auto"/>
              </w:rPr>
              <w:t>Granted</w:t>
            </w:r>
          </w:p>
        </w:tc>
        <w:tc>
          <w:tcPr>
            <w:tcW w:w="1220" w:type="dxa"/>
            <w:vAlign w:val="bottom"/>
          </w:tcPr>
          <w:p>
            <w:pPr>
              <w:jc w:val="right"/>
              <w:spacing w:after="0" w:line="243" w:lineRule="exact"/>
              <w:rPr>
                <w:sz w:val="20"/>
                <w:szCs w:val="20"/>
                <w:color w:val="auto"/>
              </w:rPr>
            </w:pPr>
            <w:r>
              <w:rPr>
                <w:rFonts w:ascii="Arial" w:cs="Arial" w:eastAsia="Arial" w:hAnsi="Arial"/>
                <w:sz w:val="22"/>
                <w:szCs w:val="22"/>
                <w:color w:val="auto"/>
              </w:rPr>
              <w:t>68,082</w:t>
            </w: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jc w:val="right"/>
              <w:spacing w:after="0" w:line="243" w:lineRule="exact"/>
              <w:rPr>
                <w:sz w:val="20"/>
                <w:szCs w:val="20"/>
                <w:color w:val="auto"/>
              </w:rPr>
            </w:pPr>
            <w:r>
              <w:rPr>
                <w:rFonts w:ascii="Arial" w:cs="Arial" w:eastAsia="Arial" w:hAnsi="Arial"/>
                <w:sz w:val="22"/>
                <w:szCs w:val="22"/>
                <w:color w:val="auto"/>
              </w:rPr>
              <w:t>35.15</w:t>
            </w:r>
          </w:p>
        </w:tc>
      </w:tr>
      <w:tr>
        <w:trPr>
          <w:trHeight w:val="243"/>
        </w:trPr>
        <w:tc>
          <w:tcPr>
            <w:tcW w:w="6740" w:type="dxa"/>
            <w:vAlign w:val="bottom"/>
            <w:shd w:val="clear" w:color="auto" w:fill="CCEEFF"/>
          </w:tcPr>
          <w:p>
            <w:pPr>
              <w:ind w:left="100"/>
              <w:spacing w:after="0" w:line="243" w:lineRule="exact"/>
              <w:rPr>
                <w:sz w:val="20"/>
                <w:szCs w:val="20"/>
                <w:color w:val="auto"/>
              </w:rPr>
            </w:pPr>
            <w:r>
              <w:rPr>
                <w:rFonts w:ascii="Arial" w:cs="Arial" w:eastAsia="Arial" w:hAnsi="Arial"/>
                <w:sz w:val="22"/>
                <w:szCs w:val="22"/>
                <w:color w:val="auto"/>
              </w:rPr>
              <w:t>Stock units vested in prior period and issued in current period</w:t>
            </w:r>
          </w:p>
        </w:tc>
        <w:tc>
          <w:tcPr>
            <w:tcW w:w="1220" w:type="dxa"/>
            <w:vAlign w:val="bottom"/>
            <w:shd w:val="clear" w:color="auto" w:fill="CCEEFF"/>
          </w:tcPr>
          <w:p>
            <w:pPr>
              <w:jc w:val="right"/>
              <w:spacing w:after="0" w:line="243" w:lineRule="exact"/>
              <w:rPr>
                <w:sz w:val="20"/>
                <w:szCs w:val="20"/>
                <w:color w:val="auto"/>
              </w:rPr>
            </w:pPr>
            <w:r>
              <w:rPr>
                <w:rFonts w:ascii="Arial" w:cs="Arial" w:eastAsia="Arial" w:hAnsi="Arial"/>
                <w:sz w:val="22"/>
                <w:szCs w:val="22"/>
                <w:color w:val="auto"/>
              </w:rPr>
              <w:t>1,467</w:t>
            </w:r>
          </w:p>
        </w:tc>
        <w:tc>
          <w:tcPr>
            <w:tcW w:w="2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line="243" w:lineRule="exact"/>
              <w:rPr>
                <w:sz w:val="20"/>
                <w:szCs w:val="20"/>
                <w:color w:val="auto"/>
              </w:rPr>
            </w:pPr>
            <w:r>
              <w:rPr>
                <w:rFonts w:ascii="Arial" w:cs="Arial" w:eastAsia="Arial" w:hAnsi="Arial"/>
                <w:sz w:val="22"/>
                <w:szCs w:val="22"/>
                <w:color w:val="auto"/>
              </w:rPr>
              <w:t>31.47</w:t>
            </w:r>
          </w:p>
        </w:tc>
      </w:tr>
      <w:tr>
        <w:trPr>
          <w:trHeight w:val="243"/>
        </w:trPr>
        <w:tc>
          <w:tcPr>
            <w:tcW w:w="6740" w:type="dxa"/>
            <w:vAlign w:val="bottom"/>
          </w:tcPr>
          <w:p>
            <w:pPr>
              <w:ind w:left="100"/>
              <w:spacing w:after="0" w:line="243" w:lineRule="exact"/>
              <w:rPr>
                <w:sz w:val="20"/>
                <w:szCs w:val="20"/>
                <w:color w:val="auto"/>
              </w:rPr>
            </w:pPr>
            <w:r>
              <w:rPr>
                <w:rFonts w:ascii="Arial" w:cs="Arial" w:eastAsia="Arial" w:hAnsi="Arial"/>
                <w:sz w:val="22"/>
                <w:szCs w:val="22"/>
                <w:color w:val="auto"/>
              </w:rPr>
              <w:t>Stock units vested and issued</w:t>
            </w:r>
          </w:p>
        </w:tc>
        <w:tc>
          <w:tcPr>
            <w:tcW w:w="1220" w:type="dxa"/>
            <w:vAlign w:val="bottom"/>
          </w:tcPr>
          <w:p>
            <w:pPr>
              <w:jc w:val="right"/>
              <w:spacing w:after="0" w:line="243" w:lineRule="exact"/>
              <w:rPr>
                <w:sz w:val="20"/>
                <w:szCs w:val="20"/>
                <w:color w:val="auto"/>
              </w:rPr>
            </w:pPr>
            <w:r>
              <w:rPr>
                <w:rFonts w:ascii="Arial" w:cs="Arial" w:eastAsia="Arial" w:hAnsi="Arial"/>
                <w:sz w:val="22"/>
                <w:szCs w:val="22"/>
                <w:color w:val="auto"/>
              </w:rPr>
              <w:t>(41,530)</w:t>
            </w: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jc w:val="right"/>
              <w:spacing w:after="0" w:line="243" w:lineRule="exact"/>
              <w:rPr>
                <w:sz w:val="20"/>
                <w:szCs w:val="20"/>
                <w:color w:val="auto"/>
              </w:rPr>
            </w:pPr>
            <w:r>
              <w:rPr>
                <w:rFonts w:ascii="Arial" w:cs="Arial" w:eastAsia="Arial" w:hAnsi="Arial"/>
                <w:sz w:val="22"/>
                <w:szCs w:val="22"/>
                <w:color w:val="auto"/>
              </w:rPr>
              <w:t>26.24</w:t>
            </w:r>
          </w:p>
        </w:tc>
      </w:tr>
      <w:tr>
        <w:trPr>
          <w:trHeight w:val="243"/>
        </w:trPr>
        <w:tc>
          <w:tcPr>
            <w:tcW w:w="6740" w:type="dxa"/>
            <w:vAlign w:val="bottom"/>
            <w:shd w:val="clear" w:color="auto" w:fill="CCEEFF"/>
          </w:tcPr>
          <w:p>
            <w:pPr>
              <w:ind w:left="100"/>
              <w:spacing w:after="0" w:line="243" w:lineRule="exact"/>
              <w:rPr>
                <w:sz w:val="20"/>
                <w:szCs w:val="20"/>
                <w:color w:val="auto"/>
              </w:rPr>
            </w:pPr>
            <w:r>
              <w:rPr>
                <w:rFonts w:ascii="Arial" w:cs="Arial" w:eastAsia="Arial" w:hAnsi="Arial"/>
                <w:sz w:val="22"/>
                <w:szCs w:val="22"/>
                <w:color w:val="auto"/>
              </w:rPr>
              <w:t>Forfeited</w:t>
            </w:r>
          </w:p>
        </w:tc>
        <w:tc>
          <w:tcPr>
            <w:tcW w:w="1220" w:type="dxa"/>
            <w:vAlign w:val="bottom"/>
            <w:tcBorders>
              <w:bottom w:val="single" w:sz="8" w:color="auto"/>
            </w:tcBorders>
            <w:shd w:val="clear" w:color="auto" w:fill="CCEEFF"/>
          </w:tcPr>
          <w:p>
            <w:pPr>
              <w:jc w:val="right"/>
              <w:spacing w:after="0" w:line="243" w:lineRule="exact"/>
              <w:rPr>
                <w:sz w:val="20"/>
                <w:szCs w:val="20"/>
                <w:color w:val="auto"/>
              </w:rPr>
            </w:pPr>
            <w:r>
              <w:rPr>
                <w:rFonts w:ascii="Arial" w:cs="Arial" w:eastAsia="Arial" w:hAnsi="Arial"/>
                <w:sz w:val="22"/>
                <w:szCs w:val="22"/>
                <w:color w:val="auto"/>
              </w:rPr>
              <w:t>(2,726)</w:t>
            </w:r>
          </w:p>
        </w:tc>
        <w:tc>
          <w:tcPr>
            <w:tcW w:w="2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line="243" w:lineRule="exact"/>
              <w:rPr>
                <w:sz w:val="20"/>
                <w:szCs w:val="20"/>
                <w:color w:val="auto"/>
              </w:rPr>
            </w:pPr>
            <w:r>
              <w:rPr>
                <w:rFonts w:ascii="Arial" w:cs="Arial" w:eastAsia="Arial" w:hAnsi="Arial"/>
                <w:sz w:val="22"/>
                <w:szCs w:val="22"/>
                <w:color w:val="auto"/>
              </w:rPr>
              <w:t>32.99</w:t>
            </w:r>
          </w:p>
        </w:tc>
      </w:tr>
      <w:tr>
        <w:trPr>
          <w:trHeight w:val="244"/>
        </w:trPr>
        <w:tc>
          <w:tcPr>
            <w:tcW w:w="6740" w:type="dxa"/>
            <w:vAlign w:val="bottom"/>
          </w:tcPr>
          <w:p>
            <w:pPr>
              <w:spacing w:after="0" w:line="237" w:lineRule="exact"/>
              <w:rPr>
                <w:sz w:val="20"/>
                <w:szCs w:val="20"/>
                <w:color w:val="auto"/>
              </w:rPr>
            </w:pPr>
            <w:r>
              <w:rPr>
                <w:rFonts w:ascii="Arial" w:cs="Arial" w:eastAsia="Arial" w:hAnsi="Arial"/>
                <w:sz w:val="22"/>
                <w:szCs w:val="22"/>
                <w:color w:val="auto"/>
              </w:rPr>
              <w:t>Nonvested stock units at end of period</w:t>
            </w:r>
          </w:p>
        </w:tc>
        <w:tc>
          <w:tcPr>
            <w:tcW w:w="1220" w:type="dxa"/>
            <w:vAlign w:val="bottom"/>
            <w:tcBorders>
              <w:bottom w:val="single" w:sz="8" w:color="auto"/>
            </w:tcBorders>
          </w:tcPr>
          <w:p>
            <w:pPr>
              <w:jc w:val="right"/>
              <w:spacing w:after="0" w:line="237" w:lineRule="exact"/>
              <w:rPr>
                <w:sz w:val="20"/>
                <w:szCs w:val="20"/>
                <w:color w:val="auto"/>
              </w:rPr>
            </w:pPr>
            <w:r>
              <w:rPr>
                <w:rFonts w:ascii="Arial" w:cs="Arial" w:eastAsia="Arial" w:hAnsi="Arial"/>
                <w:sz w:val="22"/>
                <w:szCs w:val="22"/>
                <w:color w:val="auto"/>
              </w:rPr>
              <w:t>142,080</w:t>
            </w: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jc w:val="right"/>
              <w:spacing w:after="0" w:line="237" w:lineRule="exact"/>
              <w:rPr>
                <w:sz w:val="20"/>
                <w:szCs w:val="20"/>
                <w:color w:val="auto"/>
              </w:rPr>
            </w:pPr>
            <w:r>
              <w:rPr>
                <w:rFonts w:ascii="Arial" w:cs="Arial" w:eastAsia="Arial" w:hAnsi="Arial"/>
                <w:sz w:val="22"/>
                <w:szCs w:val="22"/>
                <w:color w:val="auto"/>
              </w:rPr>
              <w:t>33.08</w:t>
            </w:r>
          </w:p>
        </w:tc>
      </w:tr>
    </w:tbl>
    <w:p>
      <w:pPr>
        <w:spacing w:after="0" w:line="235" w:lineRule="exact"/>
        <w:rPr>
          <w:sz w:val="20"/>
          <w:szCs w:val="20"/>
          <w:color w:val="auto"/>
        </w:rPr>
      </w:pPr>
    </w:p>
    <w:p>
      <w:pPr>
        <w:ind w:right="180"/>
        <w:spacing w:after="0" w:line="251" w:lineRule="auto"/>
        <w:rPr>
          <w:sz w:val="20"/>
          <w:szCs w:val="20"/>
          <w:color w:val="auto"/>
        </w:rPr>
      </w:pPr>
      <w:r>
        <w:rPr>
          <w:rFonts w:ascii="Arial" w:cs="Arial" w:eastAsia="Arial" w:hAnsi="Arial"/>
          <w:sz w:val="22"/>
          <w:szCs w:val="22"/>
          <w:color w:val="auto"/>
        </w:rPr>
        <w:t>The per unit weighted-average fair value at the date of grant for RSUs granted during the nine months ended September 30, 2018 and 2017 was $35.15 and $30.37, respectively.</w:t>
      </w:r>
    </w:p>
    <w:p>
      <w:pPr>
        <w:spacing w:after="0" w:line="200" w:lineRule="exact"/>
        <w:rPr>
          <w:sz w:val="20"/>
          <w:szCs w:val="20"/>
          <w:color w:val="auto"/>
        </w:rPr>
      </w:pPr>
    </w:p>
    <w:p>
      <w:pPr>
        <w:spacing w:after="0" w:line="274" w:lineRule="auto"/>
        <w:rPr>
          <w:sz w:val="20"/>
          <w:szCs w:val="20"/>
          <w:color w:val="auto"/>
        </w:rPr>
      </w:pPr>
      <w:r>
        <w:rPr>
          <w:rFonts w:ascii="Arial" w:cs="Arial" w:eastAsia="Arial" w:hAnsi="Arial"/>
          <w:sz w:val="19"/>
          <w:szCs w:val="19"/>
          <w:b w:val="1"/>
          <w:bCs w:val="1"/>
          <w:i w:val="1"/>
          <w:iCs w:val="1"/>
          <w:color w:val="auto"/>
        </w:rPr>
        <w:t xml:space="preserve">Stock Options </w:t>
      </w:r>
      <w:r>
        <w:rPr>
          <w:rFonts w:ascii="Arial" w:cs="Arial" w:eastAsia="Arial" w:hAnsi="Arial"/>
          <w:sz w:val="19"/>
          <w:szCs w:val="19"/>
          <w:color w:val="auto"/>
        </w:rPr>
        <w:t>– A stock option represents the option to purchase a number of shares of common stock of the</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Company as specified in the stock option grant agreement at the exercise price per share as determined by the closing market price of our common stock on the grant date. Stock options are exercisable in installments of 33% annually, starting one year from the grant date and expire 10 years from the grant date, subject to satisfaction of designated performance goals. The fair value of each stock option is amortized into compensation expense using the graded-vesting method, which results in the recognition of compensation costs over the requisite service period for each separately vesting tranche of the stock options as though the stock options were, in substance, multiple stock option grants. The following table provides the compensation cost and income tax benefit for stock-based compensation related to stock options:</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63500</wp:posOffset>
            </wp:positionV>
            <wp:extent cx="6114415" cy="514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114415" cy="51435"/>
                    </a:xfrm>
                    <a:prstGeom prst="rect">
                      <a:avLst/>
                    </a:prstGeom>
                    <a:noFill/>
                  </pic:spPr>
                </pic:pic>
              </a:graphicData>
            </a:graphic>
          </wp:anchor>
        </w:drawing>
      </w:r>
    </w:p>
    <w:p>
      <w:pPr>
        <w:sectPr>
          <w:pgSz w:w="11900" w:h="16838" w:orient="portrait"/>
          <w:cols w:equalWidth="0" w:num="1">
            <w:col w:w="9560"/>
          </w:cols>
          <w:pgMar w:left="1220" w:top="118" w:right="1119" w:bottom="1440" w:gutter="0" w:footer="0" w:header="0"/>
        </w:sectPr>
      </w:pPr>
    </w:p>
    <w:bookmarkStart w:id="21" w:name="page22"/>
    <w:bookmarkEnd w:id="21"/>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AQUA AMERICA, INC. AND SUBSIDIARIES NOTES TO CONSOLIDATED FINANCIAL STATEMENTS (continued) (In thousands of dollars, except per share amounts) (UNAUDITED)</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45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900" w:type="dxa"/>
            <w:vAlign w:val="bottom"/>
            <w:gridSpan w:val="3"/>
          </w:tcPr>
          <w:p>
            <w:pPr>
              <w:jc w:val="center"/>
              <w:spacing w:after="0"/>
              <w:rPr>
                <w:sz w:val="20"/>
                <w:szCs w:val="20"/>
                <w:color w:val="auto"/>
              </w:rPr>
            </w:pPr>
            <w:r>
              <w:rPr>
                <w:rFonts w:ascii="Arial" w:cs="Arial" w:eastAsia="Arial" w:hAnsi="Arial"/>
                <w:sz w:val="22"/>
                <w:szCs w:val="22"/>
                <w:color w:val="auto"/>
                <w:w w:val="88"/>
              </w:rPr>
              <w:t>Three Months Ended</w:t>
            </w:r>
          </w:p>
        </w:tc>
        <w:tc>
          <w:tcPr>
            <w:tcW w:w="3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120" w:type="dxa"/>
            <w:vAlign w:val="bottom"/>
            <w:gridSpan w:val="4"/>
          </w:tcPr>
          <w:p>
            <w:pPr>
              <w:jc w:val="right"/>
              <w:ind w:right="192"/>
              <w:spacing w:after="0"/>
              <w:rPr>
                <w:sz w:val="20"/>
                <w:szCs w:val="20"/>
                <w:color w:val="auto"/>
              </w:rPr>
            </w:pPr>
            <w:r>
              <w:rPr>
                <w:rFonts w:ascii="Arial" w:cs="Arial" w:eastAsia="Arial" w:hAnsi="Arial"/>
                <w:sz w:val="22"/>
                <w:szCs w:val="22"/>
                <w:color w:val="auto"/>
                <w:w w:val="93"/>
              </w:rPr>
              <w:t>Nine Months Ended</w:t>
            </w:r>
          </w:p>
        </w:tc>
      </w:tr>
      <w:tr>
        <w:trPr>
          <w:trHeight w:val="265"/>
        </w:trPr>
        <w:tc>
          <w:tcPr>
            <w:tcW w:w="4500" w:type="dxa"/>
            <w:vAlign w:val="bottom"/>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900" w:type="dxa"/>
            <w:vAlign w:val="bottom"/>
            <w:tcBorders>
              <w:bottom w:val="single" w:sz="8" w:color="auto"/>
            </w:tcBorders>
            <w:gridSpan w:val="3"/>
          </w:tcPr>
          <w:p>
            <w:pPr>
              <w:jc w:val="center"/>
              <w:spacing w:after="0"/>
              <w:rPr>
                <w:sz w:val="20"/>
                <w:szCs w:val="20"/>
                <w:color w:val="auto"/>
              </w:rPr>
            </w:pPr>
            <w:r>
              <w:rPr>
                <w:rFonts w:ascii="Arial" w:cs="Arial" w:eastAsia="Arial" w:hAnsi="Arial"/>
                <w:sz w:val="22"/>
                <w:szCs w:val="22"/>
                <w:color w:val="auto"/>
                <w:w w:val="87"/>
              </w:rPr>
              <w:t>September 30,</w:t>
            </w:r>
          </w:p>
        </w:tc>
        <w:tc>
          <w:tcPr>
            <w:tcW w:w="300" w:type="dxa"/>
            <w:vAlign w:val="bottom"/>
            <w:tcBorders>
              <w:bottom w:val="single" w:sz="8" w:color="auto"/>
            </w:tcBorders>
          </w:tcPr>
          <w:p>
            <w:pPr>
              <w:spacing w:after="0"/>
              <w:rPr>
                <w:sz w:val="23"/>
                <w:szCs w:val="23"/>
                <w:color w:val="auto"/>
              </w:rPr>
            </w:pPr>
          </w:p>
        </w:tc>
        <w:tc>
          <w:tcPr>
            <w:tcW w:w="220" w:type="dxa"/>
            <w:vAlign w:val="bottom"/>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2120" w:type="dxa"/>
            <w:vAlign w:val="bottom"/>
            <w:tcBorders>
              <w:bottom w:val="single" w:sz="8" w:color="auto"/>
            </w:tcBorders>
            <w:gridSpan w:val="4"/>
          </w:tcPr>
          <w:p>
            <w:pPr>
              <w:jc w:val="right"/>
              <w:ind w:right="352"/>
              <w:spacing w:after="0"/>
              <w:rPr>
                <w:sz w:val="20"/>
                <w:szCs w:val="20"/>
                <w:color w:val="auto"/>
              </w:rPr>
            </w:pPr>
            <w:r>
              <w:rPr>
                <w:rFonts w:ascii="Arial" w:cs="Arial" w:eastAsia="Arial" w:hAnsi="Arial"/>
                <w:sz w:val="22"/>
                <w:szCs w:val="22"/>
                <w:color w:val="auto"/>
              </w:rPr>
              <w:t>September 30,</w:t>
            </w:r>
          </w:p>
        </w:tc>
      </w:tr>
      <w:tr>
        <w:trPr>
          <w:trHeight w:val="237"/>
        </w:trPr>
        <w:tc>
          <w:tcPr>
            <w:tcW w:w="450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52"/>
              <w:spacing w:after="0" w:line="237" w:lineRule="exact"/>
              <w:rPr>
                <w:sz w:val="20"/>
                <w:szCs w:val="20"/>
                <w:color w:val="auto"/>
              </w:rPr>
            </w:pPr>
            <w:r>
              <w:rPr>
                <w:rFonts w:ascii="Arial" w:cs="Arial" w:eastAsia="Arial" w:hAnsi="Arial"/>
                <w:sz w:val="22"/>
                <w:szCs w:val="22"/>
                <w:color w:val="auto"/>
              </w:rPr>
              <w:t>2018</w:t>
            </w:r>
          </w:p>
        </w:tc>
        <w:tc>
          <w:tcPr>
            <w:tcW w:w="180" w:type="dxa"/>
            <w:vAlign w:val="bottom"/>
            <w:tcBorders>
              <w:bottom w:val="single" w:sz="8" w:color="CCEEFF"/>
            </w:tcBorders>
          </w:tcPr>
          <w:p>
            <w:pPr>
              <w:spacing w:after="0"/>
              <w:rPr>
                <w:sz w:val="20"/>
                <w:szCs w:val="20"/>
                <w:color w:val="auto"/>
              </w:rPr>
            </w:pPr>
          </w:p>
        </w:tc>
        <w:tc>
          <w:tcPr>
            <w:tcW w:w="840" w:type="dxa"/>
            <w:vAlign w:val="bottom"/>
            <w:tcBorders>
              <w:bottom w:val="single" w:sz="8" w:color="auto"/>
            </w:tcBorders>
          </w:tcPr>
          <w:p>
            <w:pPr>
              <w:jc w:val="right"/>
              <w:spacing w:after="0" w:line="237" w:lineRule="exact"/>
              <w:rPr>
                <w:sz w:val="20"/>
                <w:szCs w:val="20"/>
                <w:color w:val="auto"/>
              </w:rPr>
            </w:pPr>
            <w:r>
              <w:rPr>
                <w:rFonts w:ascii="Arial" w:cs="Arial" w:eastAsia="Arial" w:hAnsi="Arial"/>
                <w:sz w:val="22"/>
                <w:szCs w:val="22"/>
                <w:color w:val="auto"/>
              </w:rPr>
              <w:t>2017</w:t>
            </w:r>
          </w:p>
        </w:tc>
        <w:tc>
          <w:tcPr>
            <w:tcW w:w="300" w:type="dxa"/>
            <w:vAlign w:val="bottom"/>
            <w:tcBorders>
              <w:bottom w:val="single" w:sz="8" w:color="auto"/>
            </w:tcBorders>
          </w:tcPr>
          <w:p>
            <w:pPr>
              <w:spacing w:after="0"/>
              <w:rPr>
                <w:sz w:val="20"/>
                <w:szCs w:val="20"/>
                <w:color w:val="auto"/>
              </w:rPr>
            </w:pPr>
          </w:p>
        </w:tc>
        <w:tc>
          <w:tcPr>
            <w:tcW w:w="22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32"/>
              <w:spacing w:after="0" w:line="237" w:lineRule="exact"/>
              <w:rPr>
                <w:sz w:val="20"/>
                <w:szCs w:val="20"/>
                <w:color w:val="auto"/>
              </w:rPr>
            </w:pPr>
            <w:r>
              <w:rPr>
                <w:rFonts w:ascii="Arial" w:cs="Arial" w:eastAsia="Arial" w:hAnsi="Arial"/>
                <w:sz w:val="22"/>
                <w:szCs w:val="22"/>
                <w:color w:val="auto"/>
              </w:rPr>
              <w:t>2018</w:t>
            </w:r>
          </w:p>
        </w:tc>
        <w:tc>
          <w:tcPr>
            <w:tcW w:w="18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12"/>
              <w:spacing w:after="0" w:line="237" w:lineRule="exact"/>
              <w:rPr>
                <w:sz w:val="20"/>
                <w:szCs w:val="20"/>
                <w:color w:val="auto"/>
              </w:rPr>
            </w:pPr>
            <w:r>
              <w:rPr>
                <w:rFonts w:ascii="Arial" w:cs="Arial" w:eastAsia="Arial" w:hAnsi="Arial"/>
                <w:sz w:val="22"/>
                <w:szCs w:val="22"/>
                <w:color w:val="auto"/>
              </w:rPr>
              <w:t>2017</w:t>
            </w:r>
          </w:p>
        </w:tc>
      </w:tr>
      <w:tr>
        <w:trPr>
          <w:trHeight w:val="202"/>
        </w:trPr>
        <w:tc>
          <w:tcPr>
            <w:tcW w:w="4500" w:type="dxa"/>
            <w:vAlign w:val="bottom"/>
            <w:shd w:val="clear" w:color="auto" w:fill="CCEEFF"/>
          </w:tcPr>
          <w:p>
            <w:pPr>
              <w:spacing w:after="0" w:line="202" w:lineRule="exact"/>
              <w:rPr>
                <w:sz w:val="20"/>
                <w:szCs w:val="20"/>
                <w:color w:val="auto"/>
              </w:rPr>
            </w:pPr>
            <w:r>
              <w:rPr>
                <w:rFonts w:ascii="Arial" w:cs="Arial" w:eastAsia="Arial" w:hAnsi="Arial"/>
                <w:sz w:val="22"/>
                <w:szCs w:val="22"/>
                <w:color w:val="auto"/>
                <w:w w:val="93"/>
              </w:rPr>
              <w:t>Stock-based compensation within operations and</w:t>
            </w: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r>
      <w:tr>
        <w:trPr>
          <w:trHeight w:val="265"/>
        </w:trPr>
        <w:tc>
          <w:tcPr>
            <w:tcW w:w="4500" w:type="dxa"/>
            <w:vAlign w:val="bottom"/>
            <w:shd w:val="clear" w:color="auto" w:fill="CCEEFF"/>
          </w:tcPr>
          <w:p>
            <w:pPr>
              <w:spacing w:after="0"/>
              <w:rPr>
                <w:sz w:val="20"/>
                <w:szCs w:val="20"/>
                <w:color w:val="auto"/>
              </w:rPr>
            </w:pPr>
            <w:r>
              <w:rPr>
                <w:rFonts w:ascii="Arial" w:cs="Arial" w:eastAsia="Arial" w:hAnsi="Arial"/>
                <w:sz w:val="22"/>
                <w:szCs w:val="22"/>
                <w:color w:val="auto"/>
              </w:rPr>
              <w:t>maintenance expenses</w:t>
            </w:r>
          </w:p>
        </w:tc>
        <w:tc>
          <w:tcPr>
            <w:tcW w:w="260" w:type="dxa"/>
            <w:vAlign w:val="bottom"/>
            <w:shd w:val="clear" w:color="auto" w:fill="CCEEFF"/>
          </w:tcPr>
          <w:p>
            <w:pPr>
              <w:jc w:val="right"/>
              <w:spacing w:after="0"/>
              <w:rPr>
                <w:sz w:val="20"/>
                <w:szCs w:val="20"/>
                <w:color w:val="auto"/>
              </w:rPr>
            </w:pPr>
            <w:r>
              <w:rPr>
                <w:rFonts w:ascii="Arial" w:cs="Arial" w:eastAsia="Arial" w:hAnsi="Arial"/>
                <w:sz w:val="22"/>
                <w:szCs w:val="22"/>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22"/>
                <w:szCs w:val="22"/>
                <w:color w:val="auto"/>
              </w:rPr>
              <w:t>159</w:t>
            </w:r>
          </w:p>
        </w:tc>
        <w:tc>
          <w:tcPr>
            <w:tcW w:w="180" w:type="dxa"/>
            <w:vAlign w:val="bottom"/>
            <w:shd w:val="clear" w:color="auto" w:fill="CCEEFF"/>
          </w:tcPr>
          <w:p>
            <w:pPr>
              <w:spacing w:after="0"/>
              <w:rPr>
                <w:sz w:val="23"/>
                <w:szCs w:val="23"/>
                <w:color w:val="auto"/>
              </w:rPr>
            </w:pPr>
          </w:p>
        </w:tc>
        <w:tc>
          <w:tcPr>
            <w:tcW w:w="840" w:type="dxa"/>
            <w:vAlign w:val="bottom"/>
            <w:shd w:val="clear" w:color="auto" w:fill="CCEEFF"/>
          </w:tcPr>
          <w:p>
            <w:pPr>
              <w:jc w:val="right"/>
              <w:ind w:right="532"/>
              <w:spacing w:after="0"/>
              <w:rPr>
                <w:sz w:val="20"/>
                <w:szCs w:val="20"/>
                <w:color w:val="auto"/>
              </w:rPr>
            </w:pPr>
            <w:r>
              <w:rPr>
                <w:rFonts w:ascii="Arial" w:cs="Arial" w:eastAsia="Arial" w:hAnsi="Arial"/>
                <w:sz w:val="22"/>
                <w:szCs w:val="22"/>
                <w:color w:val="auto"/>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22"/>
                <w:szCs w:val="22"/>
                <w:color w:val="auto"/>
                <w:w w:val="89"/>
              </w:rPr>
              <w:t>73</w:t>
            </w:r>
          </w:p>
        </w:tc>
        <w:tc>
          <w:tcPr>
            <w:tcW w:w="220" w:type="dxa"/>
            <w:vAlign w:val="bottom"/>
            <w:shd w:val="clear" w:color="auto" w:fill="CCEEFF"/>
          </w:tcPr>
          <w:p>
            <w:pPr>
              <w:spacing w:after="0"/>
              <w:rPr>
                <w:sz w:val="23"/>
                <w:szCs w:val="23"/>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22"/>
                <w:szCs w:val="22"/>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22"/>
                <w:szCs w:val="22"/>
                <w:color w:val="auto"/>
              </w:rPr>
              <w:t>407</w:t>
            </w:r>
          </w:p>
        </w:tc>
        <w:tc>
          <w:tcPr>
            <w:tcW w:w="180" w:type="dxa"/>
            <w:vAlign w:val="bottom"/>
            <w:shd w:val="clear" w:color="auto" w:fill="CCEEFF"/>
          </w:tcPr>
          <w:p>
            <w:pPr>
              <w:spacing w:after="0"/>
              <w:rPr>
                <w:sz w:val="23"/>
                <w:szCs w:val="23"/>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22"/>
                <w:szCs w:val="22"/>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22"/>
                <w:szCs w:val="22"/>
                <w:color w:val="auto"/>
              </w:rPr>
              <w:t>177</w:t>
            </w:r>
          </w:p>
        </w:tc>
      </w:tr>
      <w:tr>
        <w:trPr>
          <w:trHeight w:val="275"/>
        </w:trPr>
        <w:tc>
          <w:tcPr>
            <w:tcW w:w="4500" w:type="dxa"/>
            <w:vAlign w:val="bottom"/>
          </w:tcPr>
          <w:p>
            <w:pPr>
              <w:spacing w:after="0"/>
              <w:rPr>
                <w:sz w:val="20"/>
                <w:szCs w:val="20"/>
                <w:color w:val="auto"/>
              </w:rPr>
            </w:pPr>
            <w:r>
              <w:rPr>
                <w:rFonts w:ascii="Arial" w:cs="Arial" w:eastAsia="Arial" w:hAnsi="Arial"/>
                <w:sz w:val="22"/>
                <w:szCs w:val="22"/>
                <w:color w:val="auto"/>
              </w:rPr>
              <w:t>Income tax benefit</w:t>
            </w:r>
          </w:p>
        </w:tc>
        <w:tc>
          <w:tcPr>
            <w:tcW w:w="26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22"/>
                <w:szCs w:val="22"/>
                <w:color w:val="auto"/>
              </w:rPr>
              <w:t>45</w:t>
            </w:r>
          </w:p>
        </w:tc>
        <w:tc>
          <w:tcPr>
            <w:tcW w:w="18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300" w:type="dxa"/>
            <w:vAlign w:val="bottom"/>
          </w:tcPr>
          <w:p>
            <w:pPr>
              <w:jc w:val="right"/>
              <w:spacing w:after="0"/>
              <w:rPr>
                <w:sz w:val="20"/>
                <w:szCs w:val="20"/>
                <w:color w:val="auto"/>
              </w:rPr>
            </w:pPr>
            <w:r>
              <w:rPr>
                <w:rFonts w:ascii="Arial" w:cs="Arial" w:eastAsia="Arial" w:hAnsi="Arial"/>
                <w:sz w:val="22"/>
                <w:szCs w:val="22"/>
                <w:color w:val="auto"/>
                <w:w w:val="89"/>
              </w:rPr>
              <w:t>43</w:t>
            </w:r>
          </w:p>
        </w:tc>
        <w:tc>
          <w:tcPr>
            <w:tcW w:w="2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22"/>
                <w:szCs w:val="22"/>
                <w:color w:val="auto"/>
              </w:rPr>
              <w:t>145</w:t>
            </w:r>
          </w:p>
        </w:tc>
        <w:tc>
          <w:tcPr>
            <w:tcW w:w="1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22"/>
                <w:szCs w:val="22"/>
                <w:color w:val="auto"/>
              </w:rPr>
              <w:t>167</w:t>
            </w:r>
          </w:p>
        </w:tc>
      </w:tr>
    </w:tbl>
    <w:p>
      <w:pPr>
        <w:spacing w:after="0" w:line="190" w:lineRule="exact"/>
        <w:rPr>
          <w:sz w:val="20"/>
          <w:szCs w:val="20"/>
          <w:color w:val="auto"/>
        </w:rPr>
      </w:pPr>
    </w:p>
    <w:p>
      <w:pPr>
        <w:ind w:right="220"/>
        <w:spacing w:after="0" w:line="245" w:lineRule="auto"/>
        <w:rPr>
          <w:sz w:val="20"/>
          <w:szCs w:val="20"/>
          <w:color w:val="auto"/>
        </w:rPr>
      </w:pPr>
      <w:r>
        <w:rPr>
          <w:rFonts w:ascii="Arial" w:cs="Arial" w:eastAsia="Arial" w:hAnsi="Arial"/>
          <w:sz w:val="22"/>
          <w:szCs w:val="22"/>
          <w:color w:val="auto"/>
        </w:rPr>
        <w:t>The fair value of options was estimated at the grant date using the Black-Scholes option-pricing model. The following assumptions were used in the application of this valuation model:</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60"/>
        </w:trPr>
        <w:tc>
          <w:tcPr>
            <w:tcW w:w="4460" w:type="dxa"/>
            <w:vAlign w:val="bottom"/>
            <w:tcBorders>
              <w:bottom w:val="single" w:sz="8" w:color="CCEEFF"/>
            </w:tcBorders>
          </w:tcPr>
          <w:p>
            <w:pPr>
              <w:spacing w:after="0"/>
              <w:rPr>
                <w:sz w:val="22"/>
                <w:szCs w:val="22"/>
                <w:color w:val="auto"/>
              </w:rPr>
            </w:pPr>
          </w:p>
        </w:tc>
        <w:tc>
          <w:tcPr>
            <w:tcW w:w="1840" w:type="dxa"/>
            <w:vAlign w:val="bottom"/>
            <w:tcBorders>
              <w:bottom w:val="single" w:sz="8" w:color="CCEEFF"/>
            </w:tcBorders>
          </w:tcPr>
          <w:p>
            <w:pPr>
              <w:spacing w:after="0"/>
              <w:rPr>
                <w:sz w:val="22"/>
                <w:szCs w:val="22"/>
                <w:color w:val="auto"/>
              </w:rPr>
            </w:pPr>
          </w:p>
        </w:tc>
        <w:tc>
          <w:tcPr>
            <w:tcW w:w="1540" w:type="dxa"/>
            <w:vAlign w:val="bottom"/>
            <w:tcBorders>
              <w:bottom w:val="single" w:sz="8" w:color="auto"/>
            </w:tcBorders>
          </w:tcPr>
          <w:p>
            <w:pPr>
              <w:jc w:val="right"/>
              <w:ind w:right="512"/>
              <w:spacing w:after="0"/>
              <w:rPr>
                <w:sz w:val="20"/>
                <w:szCs w:val="20"/>
                <w:color w:val="auto"/>
              </w:rPr>
            </w:pPr>
            <w:r>
              <w:rPr>
                <w:rFonts w:ascii="Arial" w:cs="Arial" w:eastAsia="Arial" w:hAnsi="Arial"/>
                <w:sz w:val="22"/>
                <w:szCs w:val="22"/>
                <w:color w:val="auto"/>
              </w:rPr>
              <w:t>2018</w:t>
            </w:r>
          </w:p>
        </w:tc>
        <w:tc>
          <w:tcPr>
            <w:tcW w:w="5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372"/>
              <w:spacing w:after="0"/>
              <w:rPr>
                <w:sz w:val="20"/>
                <w:szCs w:val="20"/>
                <w:color w:val="auto"/>
              </w:rPr>
            </w:pPr>
            <w:r>
              <w:rPr>
                <w:rFonts w:ascii="Arial" w:cs="Arial" w:eastAsia="Arial" w:hAnsi="Arial"/>
                <w:sz w:val="22"/>
                <w:szCs w:val="22"/>
                <w:color w:val="auto"/>
              </w:rPr>
              <w:t>2017</w:t>
            </w:r>
          </w:p>
        </w:tc>
      </w:tr>
      <w:tr>
        <w:trPr>
          <w:trHeight w:val="237"/>
        </w:trPr>
        <w:tc>
          <w:tcPr>
            <w:tcW w:w="4460" w:type="dxa"/>
            <w:vAlign w:val="bottom"/>
            <w:shd w:val="clear" w:color="auto" w:fill="CCEEFF"/>
          </w:tcPr>
          <w:p>
            <w:pPr>
              <w:spacing w:after="0" w:line="237" w:lineRule="exact"/>
              <w:rPr>
                <w:sz w:val="20"/>
                <w:szCs w:val="20"/>
                <w:color w:val="auto"/>
              </w:rPr>
            </w:pPr>
            <w:r>
              <w:rPr>
                <w:rFonts w:ascii="Arial" w:cs="Arial" w:eastAsia="Arial" w:hAnsi="Arial"/>
                <w:sz w:val="22"/>
                <w:szCs w:val="22"/>
                <w:color w:val="auto"/>
              </w:rPr>
              <w:t>Expected term (years)</w:t>
            </w:r>
          </w:p>
        </w:tc>
        <w:tc>
          <w:tcPr>
            <w:tcW w:w="1840" w:type="dxa"/>
            <w:vAlign w:val="bottom"/>
            <w:shd w:val="clear" w:color="auto" w:fill="CCEEFF"/>
          </w:tcPr>
          <w:p>
            <w:pPr>
              <w:spacing w:after="0"/>
              <w:rPr>
                <w:sz w:val="20"/>
                <w:szCs w:val="20"/>
                <w:color w:val="auto"/>
              </w:rPr>
            </w:pPr>
          </w:p>
        </w:tc>
        <w:tc>
          <w:tcPr>
            <w:tcW w:w="1540" w:type="dxa"/>
            <w:vAlign w:val="bottom"/>
            <w:shd w:val="clear" w:color="auto" w:fill="CCEEFF"/>
          </w:tcPr>
          <w:p>
            <w:pPr>
              <w:jc w:val="right"/>
              <w:ind w:right="72"/>
              <w:spacing w:after="0" w:line="237" w:lineRule="exact"/>
              <w:rPr>
                <w:sz w:val="20"/>
                <w:szCs w:val="20"/>
                <w:color w:val="auto"/>
              </w:rPr>
            </w:pPr>
            <w:r>
              <w:rPr>
                <w:rFonts w:ascii="Arial" w:cs="Arial" w:eastAsia="Arial" w:hAnsi="Arial"/>
                <w:sz w:val="22"/>
                <w:szCs w:val="22"/>
                <w:color w:val="auto"/>
              </w:rPr>
              <w:t>5.46</w:t>
            </w:r>
          </w:p>
        </w:tc>
        <w:tc>
          <w:tcPr>
            <w:tcW w:w="54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line="237" w:lineRule="exact"/>
              <w:rPr>
                <w:sz w:val="20"/>
                <w:szCs w:val="20"/>
                <w:color w:val="auto"/>
              </w:rPr>
            </w:pPr>
            <w:r>
              <w:rPr>
                <w:rFonts w:ascii="Arial" w:cs="Arial" w:eastAsia="Arial" w:hAnsi="Arial"/>
                <w:sz w:val="22"/>
                <w:szCs w:val="22"/>
                <w:color w:val="auto"/>
              </w:rPr>
              <w:t>5.45</w:t>
            </w:r>
          </w:p>
        </w:tc>
      </w:tr>
      <w:tr>
        <w:trPr>
          <w:trHeight w:val="243"/>
        </w:trPr>
        <w:tc>
          <w:tcPr>
            <w:tcW w:w="4460" w:type="dxa"/>
            <w:vAlign w:val="bottom"/>
          </w:tcPr>
          <w:p>
            <w:pPr>
              <w:spacing w:after="0" w:line="243" w:lineRule="exact"/>
              <w:rPr>
                <w:sz w:val="20"/>
                <w:szCs w:val="20"/>
                <w:color w:val="auto"/>
              </w:rPr>
            </w:pPr>
            <w:r>
              <w:rPr>
                <w:rFonts w:ascii="Arial" w:cs="Arial" w:eastAsia="Arial" w:hAnsi="Arial"/>
                <w:sz w:val="22"/>
                <w:szCs w:val="22"/>
                <w:color w:val="auto"/>
              </w:rPr>
              <w:t>Risk-free interest rate</w:t>
            </w:r>
          </w:p>
        </w:tc>
        <w:tc>
          <w:tcPr>
            <w:tcW w:w="1840" w:type="dxa"/>
            <w:vAlign w:val="bottom"/>
          </w:tcPr>
          <w:p>
            <w:pPr>
              <w:spacing w:after="0"/>
              <w:rPr>
                <w:sz w:val="21"/>
                <w:szCs w:val="21"/>
                <w:color w:val="auto"/>
              </w:rPr>
            </w:pPr>
          </w:p>
        </w:tc>
        <w:tc>
          <w:tcPr>
            <w:tcW w:w="1540" w:type="dxa"/>
            <w:vAlign w:val="bottom"/>
          </w:tcPr>
          <w:p>
            <w:pPr>
              <w:jc w:val="right"/>
              <w:ind w:right="72"/>
              <w:spacing w:after="0" w:line="243" w:lineRule="exact"/>
              <w:rPr>
                <w:sz w:val="20"/>
                <w:szCs w:val="20"/>
                <w:color w:val="auto"/>
              </w:rPr>
            </w:pPr>
            <w:r>
              <w:rPr>
                <w:rFonts w:ascii="Arial" w:cs="Arial" w:eastAsia="Arial" w:hAnsi="Arial"/>
                <w:sz w:val="22"/>
                <w:szCs w:val="22"/>
                <w:color w:val="auto"/>
              </w:rPr>
              <w:t>2.72%</w:t>
            </w:r>
          </w:p>
        </w:tc>
        <w:tc>
          <w:tcPr>
            <w:tcW w:w="540" w:type="dxa"/>
            <w:vAlign w:val="bottom"/>
          </w:tcPr>
          <w:p>
            <w:pPr>
              <w:spacing w:after="0"/>
              <w:rPr>
                <w:sz w:val="21"/>
                <w:szCs w:val="21"/>
                <w:color w:val="auto"/>
              </w:rPr>
            </w:pPr>
          </w:p>
        </w:tc>
        <w:tc>
          <w:tcPr>
            <w:tcW w:w="1160" w:type="dxa"/>
            <w:vAlign w:val="bottom"/>
          </w:tcPr>
          <w:p>
            <w:pPr>
              <w:jc w:val="right"/>
              <w:spacing w:after="0" w:line="243" w:lineRule="exact"/>
              <w:rPr>
                <w:sz w:val="20"/>
                <w:szCs w:val="20"/>
                <w:color w:val="auto"/>
              </w:rPr>
            </w:pPr>
            <w:r>
              <w:rPr>
                <w:rFonts w:ascii="Arial" w:cs="Arial" w:eastAsia="Arial" w:hAnsi="Arial"/>
                <w:sz w:val="22"/>
                <w:szCs w:val="22"/>
                <w:color w:val="auto"/>
              </w:rPr>
              <w:t>2.01%</w:t>
            </w:r>
          </w:p>
        </w:tc>
      </w:tr>
      <w:tr>
        <w:trPr>
          <w:trHeight w:val="243"/>
        </w:trPr>
        <w:tc>
          <w:tcPr>
            <w:tcW w:w="4460" w:type="dxa"/>
            <w:vAlign w:val="bottom"/>
            <w:shd w:val="clear" w:color="auto" w:fill="CCEEFF"/>
          </w:tcPr>
          <w:p>
            <w:pPr>
              <w:spacing w:after="0" w:line="243" w:lineRule="exact"/>
              <w:rPr>
                <w:sz w:val="20"/>
                <w:szCs w:val="20"/>
                <w:color w:val="auto"/>
              </w:rPr>
            </w:pPr>
            <w:r>
              <w:rPr>
                <w:rFonts w:ascii="Arial" w:cs="Arial" w:eastAsia="Arial" w:hAnsi="Arial"/>
                <w:sz w:val="22"/>
                <w:szCs w:val="22"/>
                <w:color w:val="auto"/>
              </w:rPr>
              <w:t>Expected volatility</w:t>
            </w:r>
          </w:p>
        </w:tc>
        <w:tc>
          <w:tcPr>
            <w:tcW w:w="1840" w:type="dxa"/>
            <w:vAlign w:val="bottom"/>
            <w:shd w:val="clear" w:color="auto" w:fill="CCEEFF"/>
          </w:tcPr>
          <w:p>
            <w:pPr>
              <w:spacing w:after="0"/>
              <w:rPr>
                <w:sz w:val="21"/>
                <w:szCs w:val="21"/>
                <w:color w:val="auto"/>
              </w:rPr>
            </w:pPr>
          </w:p>
        </w:tc>
        <w:tc>
          <w:tcPr>
            <w:tcW w:w="1540" w:type="dxa"/>
            <w:vAlign w:val="bottom"/>
            <w:shd w:val="clear" w:color="auto" w:fill="CCEEFF"/>
          </w:tcPr>
          <w:p>
            <w:pPr>
              <w:jc w:val="right"/>
              <w:ind w:right="72"/>
              <w:spacing w:after="0" w:line="243" w:lineRule="exact"/>
              <w:rPr>
                <w:sz w:val="20"/>
                <w:szCs w:val="20"/>
                <w:color w:val="auto"/>
              </w:rPr>
            </w:pPr>
            <w:r>
              <w:rPr>
                <w:rFonts w:ascii="Arial" w:cs="Arial" w:eastAsia="Arial" w:hAnsi="Arial"/>
                <w:sz w:val="22"/>
                <w:szCs w:val="22"/>
                <w:color w:val="auto"/>
              </w:rPr>
              <w:t>17.2%</w:t>
            </w:r>
          </w:p>
        </w:tc>
        <w:tc>
          <w:tcPr>
            <w:tcW w:w="54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line="243" w:lineRule="exact"/>
              <w:rPr>
                <w:sz w:val="20"/>
                <w:szCs w:val="20"/>
                <w:color w:val="auto"/>
              </w:rPr>
            </w:pPr>
            <w:r>
              <w:rPr>
                <w:rFonts w:ascii="Arial" w:cs="Arial" w:eastAsia="Arial" w:hAnsi="Arial"/>
                <w:sz w:val="22"/>
                <w:szCs w:val="22"/>
                <w:color w:val="auto"/>
              </w:rPr>
              <w:t>17.7%</w:t>
            </w:r>
          </w:p>
        </w:tc>
      </w:tr>
      <w:tr>
        <w:trPr>
          <w:trHeight w:val="243"/>
        </w:trPr>
        <w:tc>
          <w:tcPr>
            <w:tcW w:w="4460" w:type="dxa"/>
            <w:vAlign w:val="bottom"/>
          </w:tcPr>
          <w:p>
            <w:pPr>
              <w:spacing w:after="0" w:line="243" w:lineRule="exact"/>
              <w:rPr>
                <w:sz w:val="20"/>
                <w:szCs w:val="20"/>
                <w:color w:val="auto"/>
              </w:rPr>
            </w:pPr>
            <w:r>
              <w:rPr>
                <w:rFonts w:ascii="Arial" w:cs="Arial" w:eastAsia="Arial" w:hAnsi="Arial"/>
                <w:sz w:val="22"/>
                <w:szCs w:val="22"/>
                <w:color w:val="auto"/>
              </w:rPr>
              <w:t>Dividend yield</w:t>
            </w:r>
          </w:p>
        </w:tc>
        <w:tc>
          <w:tcPr>
            <w:tcW w:w="1840" w:type="dxa"/>
            <w:vAlign w:val="bottom"/>
          </w:tcPr>
          <w:p>
            <w:pPr>
              <w:spacing w:after="0"/>
              <w:rPr>
                <w:sz w:val="21"/>
                <w:szCs w:val="21"/>
                <w:color w:val="auto"/>
              </w:rPr>
            </w:pPr>
          </w:p>
        </w:tc>
        <w:tc>
          <w:tcPr>
            <w:tcW w:w="1540" w:type="dxa"/>
            <w:vAlign w:val="bottom"/>
          </w:tcPr>
          <w:p>
            <w:pPr>
              <w:jc w:val="right"/>
              <w:ind w:right="72"/>
              <w:spacing w:after="0" w:line="243" w:lineRule="exact"/>
              <w:rPr>
                <w:sz w:val="20"/>
                <w:szCs w:val="20"/>
                <w:color w:val="auto"/>
              </w:rPr>
            </w:pPr>
            <w:r>
              <w:rPr>
                <w:rFonts w:ascii="Arial" w:cs="Arial" w:eastAsia="Arial" w:hAnsi="Arial"/>
                <w:sz w:val="22"/>
                <w:szCs w:val="22"/>
                <w:color w:val="auto"/>
              </w:rPr>
              <w:t>2.37%</w:t>
            </w:r>
          </w:p>
        </w:tc>
        <w:tc>
          <w:tcPr>
            <w:tcW w:w="540" w:type="dxa"/>
            <w:vAlign w:val="bottom"/>
          </w:tcPr>
          <w:p>
            <w:pPr>
              <w:spacing w:after="0"/>
              <w:rPr>
                <w:sz w:val="21"/>
                <w:szCs w:val="21"/>
                <w:color w:val="auto"/>
              </w:rPr>
            </w:pPr>
          </w:p>
        </w:tc>
        <w:tc>
          <w:tcPr>
            <w:tcW w:w="1160" w:type="dxa"/>
            <w:vAlign w:val="bottom"/>
          </w:tcPr>
          <w:p>
            <w:pPr>
              <w:jc w:val="right"/>
              <w:spacing w:after="0" w:line="243" w:lineRule="exact"/>
              <w:rPr>
                <w:sz w:val="20"/>
                <w:szCs w:val="20"/>
                <w:color w:val="auto"/>
              </w:rPr>
            </w:pPr>
            <w:r>
              <w:rPr>
                <w:rFonts w:ascii="Arial" w:cs="Arial" w:eastAsia="Arial" w:hAnsi="Arial"/>
                <w:sz w:val="22"/>
                <w:szCs w:val="22"/>
                <w:color w:val="auto"/>
              </w:rPr>
              <w:t>2.51%</w:t>
            </w:r>
          </w:p>
        </w:tc>
      </w:tr>
      <w:tr>
        <w:trPr>
          <w:trHeight w:val="243"/>
        </w:trPr>
        <w:tc>
          <w:tcPr>
            <w:tcW w:w="4460" w:type="dxa"/>
            <w:vAlign w:val="bottom"/>
            <w:shd w:val="clear" w:color="auto" w:fill="CCEEFF"/>
          </w:tcPr>
          <w:p>
            <w:pPr>
              <w:spacing w:after="0" w:line="243" w:lineRule="exact"/>
              <w:rPr>
                <w:sz w:val="20"/>
                <w:szCs w:val="20"/>
                <w:color w:val="auto"/>
              </w:rPr>
            </w:pPr>
            <w:r>
              <w:rPr>
                <w:rFonts w:ascii="Arial" w:cs="Arial" w:eastAsia="Arial" w:hAnsi="Arial"/>
                <w:sz w:val="22"/>
                <w:szCs w:val="22"/>
                <w:color w:val="auto"/>
              </w:rPr>
              <w:t>Grant date fair value per option</w:t>
            </w:r>
          </w:p>
        </w:tc>
        <w:tc>
          <w:tcPr>
            <w:tcW w:w="1840" w:type="dxa"/>
            <w:vAlign w:val="bottom"/>
            <w:shd w:val="clear" w:color="auto" w:fill="CCEEFF"/>
          </w:tcPr>
          <w:p>
            <w:pPr>
              <w:jc w:val="right"/>
              <w:spacing w:after="0" w:line="243" w:lineRule="exact"/>
              <w:rPr>
                <w:sz w:val="20"/>
                <w:szCs w:val="20"/>
                <w:color w:val="auto"/>
              </w:rPr>
            </w:pPr>
            <w:r>
              <w:rPr>
                <w:rFonts w:ascii="Arial" w:cs="Arial" w:eastAsia="Arial" w:hAnsi="Arial"/>
                <w:sz w:val="22"/>
                <w:szCs w:val="22"/>
                <w:color w:val="auto"/>
              </w:rPr>
              <w:t>$</w:t>
            </w:r>
          </w:p>
        </w:tc>
        <w:tc>
          <w:tcPr>
            <w:tcW w:w="1540" w:type="dxa"/>
            <w:vAlign w:val="bottom"/>
            <w:shd w:val="clear" w:color="auto" w:fill="CCEEFF"/>
          </w:tcPr>
          <w:p>
            <w:pPr>
              <w:jc w:val="right"/>
              <w:ind w:right="72"/>
              <w:spacing w:after="0" w:line="243" w:lineRule="exact"/>
              <w:rPr>
                <w:sz w:val="20"/>
                <w:szCs w:val="20"/>
                <w:color w:val="auto"/>
              </w:rPr>
            </w:pPr>
            <w:r>
              <w:rPr>
                <w:rFonts w:ascii="Arial" w:cs="Arial" w:eastAsia="Arial" w:hAnsi="Arial"/>
                <w:sz w:val="22"/>
                <w:szCs w:val="22"/>
                <w:color w:val="auto"/>
              </w:rPr>
              <w:t>5.10</w:t>
            </w:r>
          </w:p>
        </w:tc>
        <w:tc>
          <w:tcPr>
            <w:tcW w:w="540" w:type="dxa"/>
            <w:vAlign w:val="bottom"/>
            <w:shd w:val="clear" w:color="auto" w:fill="CCEEFF"/>
          </w:tcPr>
          <w:p>
            <w:pPr>
              <w:jc w:val="right"/>
              <w:ind w:right="132"/>
              <w:spacing w:after="0" w:line="243" w:lineRule="exact"/>
              <w:rPr>
                <w:sz w:val="20"/>
                <w:szCs w:val="20"/>
                <w:color w:val="auto"/>
              </w:rPr>
            </w:pPr>
            <w:r>
              <w:rPr>
                <w:rFonts w:ascii="Arial" w:cs="Arial" w:eastAsia="Arial" w:hAnsi="Arial"/>
                <w:sz w:val="22"/>
                <w:szCs w:val="22"/>
                <w:color w:val="auto"/>
              </w:rPr>
              <w:t>$</w:t>
            </w:r>
          </w:p>
        </w:tc>
        <w:tc>
          <w:tcPr>
            <w:tcW w:w="1160" w:type="dxa"/>
            <w:vAlign w:val="bottom"/>
            <w:shd w:val="clear" w:color="auto" w:fill="CCEEFF"/>
          </w:tcPr>
          <w:p>
            <w:pPr>
              <w:jc w:val="right"/>
              <w:spacing w:after="0" w:line="243" w:lineRule="exact"/>
              <w:rPr>
                <w:sz w:val="20"/>
                <w:szCs w:val="20"/>
                <w:color w:val="auto"/>
              </w:rPr>
            </w:pPr>
            <w:r>
              <w:rPr>
                <w:rFonts w:ascii="Arial" w:cs="Arial" w:eastAsia="Arial" w:hAnsi="Arial"/>
                <w:sz w:val="22"/>
                <w:szCs w:val="22"/>
                <w:color w:val="auto"/>
              </w:rPr>
              <w:t>4.07</w:t>
            </w:r>
          </w:p>
        </w:tc>
      </w:tr>
    </w:tbl>
    <w:p>
      <w:pPr>
        <w:spacing w:after="0" w:line="222" w:lineRule="exact"/>
        <w:rPr>
          <w:sz w:val="20"/>
          <w:szCs w:val="20"/>
          <w:color w:val="auto"/>
        </w:rPr>
      </w:pPr>
    </w:p>
    <w:p>
      <w:pPr>
        <w:ind w:right="220"/>
        <w:spacing w:after="0" w:line="287" w:lineRule="auto"/>
        <w:rPr>
          <w:sz w:val="20"/>
          <w:szCs w:val="20"/>
          <w:color w:val="auto"/>
        </w:rPr>
      </w:pPr>
      <w:r>
        <w:rPr>
          <w:rFonts w:ascii="Arial" w:cs="Arial" w:eastAsia="Arial" w:hAnsi="Arial"/>
          <w:sz w:val="19"/>
          <w:szCs w:val="19"/>
          <w:color w:val="auto"/>
        </w:rPr>
        <w:t>Historical information was the principal basis for the selection of the expected term and dividend yield. The expected volatility is based on a weighted-average combination of historical and implied volatilities over a time period that approximates the expected term of the option. The risk-free interest rate was selected based upon the U.S. Treasury yield curve in effect at the time of grant for the expected term of the option.</w:t>
      </w:r>
    </w:p>
    <w:p>
      <w:pPr>
        <w:spacing w:after="0" w:line="170" w:lineRule="exact"/>
        <w:rPr>
          <w:sz w:val="20"/>
          <w:szCs w:val="20"/>
          <w:color w:val="auto"/>
        </w:rPr>
      </w:pPr>
    </w:p>
    <w:p>
      <w:pPr>
        <w:spacing w:after="0"/>
        <w:rPr>
          <w:sz w:val="20"/>
          <w:szCs w:val="20"/>
          <w:color w:val="auto"/>
        </w:rPr>
      </w:pPr>
      <w:r>
        <w:rPr>
          <w:rFonts w:ascii="Arial" w:cs="Arial" w:eastAsia="Arial" w:hAnsi="Arial"/>
          <w:sz w:val="19"/>
          <w:szCs w:val="19"/>
          <w:color w:val="auto"/>
        </w:rPr>
        <w:t>The following table summarizes stock option transactions for the nine months ended September 30, 2018:</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20" w:type="dxa"/>
            <w:vAlign w:val="bottom"/>
          </w:tcPr>
          <w:p>
            <w:pPr>
              <w:spacing w:after="0"/>
              <w:rPr>
                <w:sz w:val="23"/>
                <w:szCs w:val="23"/>
                <w:color w:val="auto"/>
              </w:rPr>
            </w:pPr>
          </w:p>
        </w:tc>
        <w:tc>
          <w:tcPr>
            <w:tcW w:w="462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20" w:type="dxa"/>
            <w:vAlign w:val="bottom"/>
            <w:gridSpan w:val="3"/>
          </w:tcPr>
          <w:p>
            <w:pPr>
              <w:jc w:val="center"/>
              <w:ind w:right="160"/>
              <w:spacing w:after="0"/>
              <w:rPr>
                <w:sz w:val="20"/>
                <w:szCs w:val="20"/>
                <w:color w:val="auto"/>
              </w:rPr>
            </w:pPr>
            <w:r>
              <w:rPr>
                <w:rFonts w:ascii="Arial" w:cs="Arial" w:eastAsia="Arial" w:hAnsi="Arial"/>
                <w:sz w:val="22"/>
                <w:szCs w:val="22"/>
                <w:color w:val="auto"/>
                <w:w w:val="88"/>
              </w:rPr>
              <w:t>Weighted</w:t>
            </w:r>
          </w:p>
        </w:tc>
        <w:tc>
          <w:tcPr>
            <w:tcW w:w="1180" w:type="dxa"/>
            <w:vAlign w:val="bottom"/>
            <w:gridSpan w:val="2"/>
          </w:tcPr>
          <w:p>
            <w:pPr>
              <w:jc w:val="center"/>
              <w:ind w:right="160"/>
              <w:spacing w:after="0"/>
              <w:rPr>
                <w:sz w:val="20"/>
                <w:szCs w:val="20"/>
                <w:color w:val="auto"/>
              </w:rPr>
            </w:pPr>
            <w:r>
              <w:rPr>
                <w:rFonts w:ascii="Arial" w:cs="Arial" w:eastAsia="Arial" w:hAnsi="Arial"/>
                <w:sz w:val="22"/>
                <w:szCs w:val="22"/>
                <w:color w:val="auto"/>
                <w:w w:val="88"/>
              </w:rPr>
              <w:t>Weighted</w:t>
            </w:r>
          </w:p>
        </w:tc>
        <w:tc>
          <w:tcPr>
            <w:tcW w:w="18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46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gridSpan w:val="2"/>
          </w:tcPr>
          <w:p>
            <w:pPr>
              <w:jc w:val="center"/>
              <w:ind w:right="320"/>
              <w:spacing w:after="0"/>
              <w:rPr>
                <w:sz w:val="20"/>
                <w:szCs w:val="20"/>
                <w:color w:val="auto"/>
              </w:rPr>
            </w:pPr>
            <w:r>
              <w:rPr>
                <w:rFonts w:ascii="Arial" w:cs="Arial" w:eastAsia="Arial" w:hAnsi="Arial"/>
                <w:sz w:val="22"/>
                <w:szCs w:val="22"/>
                <w:color w:val="auto"/>
                <w:w w:val="85"/>
              </w:rPr>
              <w:t>Average</w:t>
            </w:r>
          </w:p>
        </w:tc>
        <w:tc>
          <w:tcPr>
            <w:tcW w:w="1180" w:type="dxa"/>
            <w:vAlign w:val="bottom"/>
            <w:gridSpan w:val="2"/>
          </w:tcPr>
          <w:p>
            <w:pPr>
              <w:jc w:val="center"/>
              <w:ind w:right="160"/>
              <w:spacing w:after="0"/>
              <w:rPr>
                <w:sz w:val="20"/>
                <w:szCs w:val="20"/>
                <w:color w:val="auto"/>
              </w:rPr>
            </w:pPr>
            <w:r>
              <w:rPr>
                <w:rFonts w:ascii="Arial" w:cs="Arial" w:eastAsia="Arial" w:hAnsi="Arial"/>
                <w:sz w:val="22"/>
                <w:szCs w:val="22"/>
                <w:color w:val="auto"/>
                <w:w w:val="85"/>
              </w:rPr>
              <w:t>Average</w:t>
            </w:r>
          </w:p>
        </w:tc>
        <w:tc>
          <w:tcPr>
            <w:tcW w:w="180" w:type="dxa"/>
            <w:vAlign w:val="bottom"/>
          </w:tcPr>
          <w:p>
            <w:pPr>
              <w:spacing w:after="0"/>
              <w:rPr>
                <w:sz w:val="24"/>
                <w:szCs w:val="24"/>
                <w:color w:val="auto"/>
              </w:rPr>
            </w:pPr>
          </w:p>
        </w:tc>
        <w:tc>
          <w:tcPr>
            <w:tcW w:w="1080" w:type="dxa"/>
            <w:vAlign w:val="bottom"/>
          </w:tcPr>
          <w:p>
            <w:pPr>
              <w:jc w:val="center"/>
              <w:ind w:right="72"/>
              <w:spacing w:after="0"/>
              <w:rPr>
                <w:sz w:val="20"/>
                <w:szCs w:val="20"/>
                <w:color w:val="auto"/>
              </w:rPr>
            </w:pPr>
            <w:r>
              <w:rPr>
                <w:rFonts w:ascii="Arial" w:cs="Arial" w:eastAsia="Arial" w:hAnsi="Arial"/>
                <w:sz w:val="22"/>
                <w:szCs w:val="22"/>
                <w:color w:val="auto"/>
                <w:w w:val="88"/>
              </w:rPr>
              <w:t>Aggregate</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46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gridSpan w:val="2"/>
          </w:tcPr>
          <w:p>
            <w:pPr>
              <w:jc w:val="center"/>
              <w:ind w:right="320"/>
              <w:spacing w:after="0"/>
              <w:rPr>
                <w:sz w:val="20"/>
                <w:szCs w:val="20"/>
                <w:color w:val="auto"/>
              </w:rPr>
            </w:pPr>
            <w:r>
              <w:rPr>
                <w:rFonts w:ascii="Arial" w:cs="Arial" w:eastAsia="Arial" w:hAnsi="Arial"/>
                <w:sz w:val="22"/>
                <w:szCs w:val="22"/>
                <w:color w:val="auto"/>
                <w:w w:val="87"/>
              </w:rPr>
              <w:t>Exercise</w:t>
            </w:r>
          </w:p>
        </w:tc>
        <w:tc>
          <w:tcPr>
            <w:tcW w:w="1180" w:type="dxa"/>
            <w:vAlign w:val="bottom"/>
            <w:gridSpan w:val="2"/>
          </w:tcPr>
          <w:p>
            <w:pPr>
              <w:jc w:val="center"/>
              <w:ind w:right="160"/>
              <w:spacing w:after="0"/>
              <w:rPr>
                <w:sz w:val="20"/>
                <w:szCs w:val="20"/>
                <w:color w:val="auto"/>
              </w:rPr>
            </w:pPr>
            <w:r>
              <w:rPr>
                <w:rFonts w:ascii="Arial" w:cs="Arial" w:eastAsia="Arial" w:hAnsi="Arial"/>
                <w:sz w:val="22"/>
                <w:szCs w:val="22"/>
                <w:color w:val="auto"/>
                <w:w w:val="89"/>
              </w:rPr>
              <w:t>Remaining</w:t>
            </w:r>
          </w:p>
        </w:tc>
        <w:tc>
          <w:tcPr>
            <w:tcW w:w="180" w:type="dxa"/>
            <w:vAlign w:val="bottom"/>
          </w:tcPr>
          <w:p>
            <w:pPr>
              <w:spacing w:after="0"/>
              <w:rPr>
                <w:sz w:val="21"/>
                <w:szCs w:val="21"/>
                <w:color w:val="auto"/>
              </w:rPr>
            </w:pPr>
          </w:p>
        </w:tc>
        <w:tc>
          <w:tcPr>
            <w:tcW w:w="1080" w:type="dxa"/>
            <w:vAlign w:val="bottom"/>
          </w:tcPr>
          <w:p>
            <w:pPr>
              <w:jc w:val="center"/>
              <w:ind w:right="52"/>
              <w:spacing w:after="0"/>
              <w:rPr>
                <w:sz w:val="20"/>
                <w:szCs w:val="20"/>
                <w:color w:val="auto"/>
              </w:rPr>
            </w:pPr>
            <w:r>
              <w:rPr>
                <w:rFonts w:ascii="Arial" w:cs="Arial" w:eastAsia="Arial" w:hAnsi="Arial"/>
                <w:sz w:val="22"/>
                <w:szCs w:val="22"/>
                <w:color w:val="auto"/>
                <w:w w:val="94"/>
              </w:rPr>
              <w:t>Intrinsic</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6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gridSpan w:val="2"/>
          </w:tcPr>
          <w:p>
            <w:pPr>
              <w:jc w:val="center"/>
              <w:ind w:right="140"/>
              <w:spacing w:after="0" w:line="243" w:lineRule="exact"/>
              <w:rPr>
                <w:sz w:val="20"/>
                <w:szCs w:val="20"/>
                <w:color w:val="auto"/>
              </w:rPr>
            </w:pPr>
            <w:r>
              <w:rPr>
                <w:rFonts w:ascii="Arial" w:cs="Arial" w:eastAsia="Arial" w:hAnsi="Arial"/>
                <w:sz w:val="22"/>
                <w:szCs w:val="22"/>
                <w:color w:val="auto"/>
              </w:rPr>
              <w:t>Life</w:t>
            </w: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4620" w:type="dxa"/>
            <w:vAlign w:val="bottom"/>
          </w:tcPr>
          <w:p>
            <w:pPr>
              <w:spacing w:after="0"/>
              <w:rPr>
                <w:sz w:val="23"/>
                <w:szCs w:val="23"/>
                <w:color w:val="auto"/>
              </w:rPr>
            </w:pPr>
          </w:p>
        </w:tc>
        <w:tc>
          <w:tcPr>
            <w:tcW w:w="1240" w:type="dxa"/>
            <w:vAlign w:val="bottom"/>
            <w:gridSpan w:val="2"/>
          </w:tcPr>
          <w:p>
            <w:pPr>
              <w:ind w:left="240"/>
              <w:spacing w:after="0"/>
              <w:rPr>
                <w:sz w:val="20"/>
                <w:szCs w:val="20"/>
                <w:color w:val="auto"/>
              </w:rPr>
            </w:pPr>
            <w:r>
              <w:rPr>
                <w:rFonts w:ascii="Arial" w:cs="Arial" w:eastAsia="Arial" w:hAnsi="Arial"/>
                <w:sz w:val="22"/>
                <w:szCs w:val="22"/>
                <w:color w:val="auto"/>
              </w:rPr>
              <w:t>Shares</w:t>
            </w:r>
          </w:p>
        </w:tc>
        <w:tc>
          <w:tcPr>
            <w:tcW w:w="160" w:type="dxa"/>
            <w:vAlign w:val="bottom"/>
          </w:tcPr>
          <w:p>
            <w:pPr>
              <w:spacing w:after="0"/>
              <w:rPr>
                <w:sz w:val="23"/>
                <w:szCs w:val="23"/>
                <w:color w:val="auto"/>
              </w:rPr>
            </w:pPr>
          </w:p>
        </w:tc>
        <w:tc>
          <w:tcPr>
            <w:tcW w:w="1060" w:type="dxa"/>
            <w:vAlign w:val="bottom"/>
            <w:gridSpan w:val="2"/>
          </w:tcPr>
          <w:p>
            <w:pPr>
              <w:jc w:val="center"/>
              <w:ind w:right="320"/>
              <w:spacing w:after="0"/>
              <w:rPr>
                <w:sz w:val="20"/>
                <w:szCs w:val="20"/>
                <w:color w:val="auto"/>
              </w:rPr>
            </w:pPr>
            <w:r>
              <w:rPr>
                <w:rFonts w:ascii="Arial" w:cs="Arial" w:eastAsia="Arial" w:hAnsi="Arial"/>
                <w:sz w:val="22"/>
                <w:szCs w:val="22"/>
                <w:color w:val="auto"/>
                <w:w w:val="91"/>
              </w:rPr>
              <w:t>Price</w:t>
            </w:r>
          </w:p>
        </w:tc>
        <w:tc>
          <w:tcPr>
            <w:tcW w:w="1180" w:type="dxa"/>
            <w:vAlign w:val="bottom"/>
            <w:gridSpan w:val="2"/>
          </w:tcPr>
          <w:p>
            <w:pPr>
              <w:jc w:val="center"/>
              <w:ind w:right="140"/>
              <w:spacing w:after="0"/>
              <w:rPr>
                <w:sz w:val="20"/>
                <w:szCs w:val="20"/>
                <w:color w:val="auto"/>
              </w:rPr>
            </w:pPr>
            <w:r>
              <w:rPr>
                <w:rFonts w:ascii="Arial" w:cs="Arial" w:eastAsia="Arial" w:hAnsi="Arial"/>
                <w:sz w:val="22"/>
                <w:szCs w:val="22"/>
                <w:color w:val="auto"/>
                <w:w w:val="87"/>
              </w:rPr>
              <w:t>(years)</w:t>
            </w:r>
          </w:p>
        </w:tc>
        <w:tc>
          <w:tcPr>
            <w:tcW w:w="180" w:type="dxa"/>
            <w:vAlign w:val="bottom"/>
          </w:tcPr>
          <w:p>
            <w:pPr>
              <w:spacing w:after="0"/>
              <w:rPr>
                <w:sz w:val="23"/>
                <w:szCs w:val="23"/>
                <w:color w:val="auto"/>
              </w:rPr>
            </w:pPr>
          </w:p>
        </w:tc>
        <w:tc>
          <w:tcPr>
            <w:tcW w:w="1080" w:type="dxa"/>
            <w:vAlign w:val="bottom"/>
          </w:tcPr>
          <w:p>
            <w:pPr>
              <w:jc w:val="center"/>
              <w:ind w:right="72"/>
              <w:spacing w:after="0"/>
              <w:rPr>
                <w:sz w:val="20"/>
                <w:szCs w:val="20"/>
                <w:color w:val="auto"/>
              </w:rPr>
            </w:pPr>
            <w:r>
              <w:rPr>
                <w:rFonts w:ascii="Arial" w:cs="Arial" w:eastAsia="Arial" w:hAnsi="Arial"/>
                <w:sz w:val="22"/>
                <w:szCs w:val="22"/>
                <w:color w:val="auto"/>
                <w:w w:val="88"/>
              </w:rPr>
              <w:t>Value</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46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22"/>
                <w:szCs w:val="22"/>
                <w:color w:val="auto"/>
              </w:rPr>
              <w:t>Outstanding at beginning of period</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22"/>
                <w:szCs w:val="22"/>
                <w:color w:val="auto"/>
              </w:rPr>
              <w:t>364,932</w:t>
            </w:r>
          </w:p>
        </w:tc>
        <w:tc>
          <w:tcPr>
            <w:tcW w:w="16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22"/>
                <w:szCs w:val="22"/>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22"/>
                <w:szCs w:val="22"/>
                <w:color w:val="auto"/>
              </w:rPr>
              <w:t>19.83</w:t>
            </w:r>
          </w:p>
        </w:tc>
        <w:tc>
          <w:tcPr>
            <w:tcW w:w="160" w:type="dxa"/>
            <w:vAlign w:val="bottom"/>
            <w:tcBorders>
              <w:top w:val="single" w:sz="8" w:color="CCEEFF"/>
            </w:tcBorders>
            <w:shd w:val="clear" w:color="auto" w:fill="CCEEFF"/>
          </w:tcPr>
          <w:p>
            <w:pPr>
              <w:spacing w:after="0"/>
              <w:rPr>
                <w:sz w:val="22"/>
                <w:szCs w:val="22"/>
                <w:color w:val="auto"/>
              </w:rPr>
            </w:pPr>
          </w:p>
        </w:tc>
        <w:tc>
          <w:tcPr>
            <w:tcW w:w="1020" w:type="dxa"/>
            <w:vAlign w:val="bottom"/>
            <w:tcBorders>
              <w:top w:val="single" w:sz="8" w:color="auto"/>
            </w:tcBorders>
            <w:shd w:val="clear" w:color="auto" w:fill="CCEEFF"/>
          </w:tcPr>
          <w:p>
            <w:pPr>
              <w:spacing w:after="0"/>
              <w:rPr>
                <w:sz w:val="22"/>
                <w:szCs w:val="22"/>
                <w:color w:val="auto"/>
              </w:rPr>
            </w:pPr>
          </w:p>
        </w:tc>
        <w:tc>
          <w:tcPr>
            <w:tcW w:w="16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spacing w:after="0"/>
              <w:rPr>
                <w:sz w:val="22"/>
                <w:szCs w:val="22"/>
                <w:color w:val="auto"/>
              </w:rPr>
            </w:pPr>
          </w:p>
        </w:tc>
        <w:tc>
          <w:tcPr>
            <w:tcW w:w="1080" w:type="dxa"/>
            <w:vAlign w:val="bottom"/>
            <w:tcBorders>
              <w:top w:val="single" w:sz="8" w:color="auto"/>
            </w:tcBorders>
            <w:shd w:val="clear" w:color="auto" w:fill="CCEEFF"/>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4620" w:type="dxa"/>
            <w:vAlign w:val="bottom"/>
          </w:tcPr>
          <w:p>
            <w:pPr>
              <w:ind w:left="80"/>
              <w:spacing w:after="0"/>
              <w:rPr>
                <w:sz w:val="20"/>
                <w:szCs w:val="20"/>
                <w:color w:val="auto"/>
              </w:rPr>
            </w:pPr>
            <w:r>
              <w:rPr>
                <w:rFonts w:ascii="Arial" w:cs="Arial" w:eastAsia="Arial" w:hAnsi="Arial"/>
                <w:sz w:val="22"/>
                <w:szCs w:val="22"/>
                <w:color w:val="auto"/>
              </w:rPr>
              <w:t>Granted</w:t>
            </w:r>
          </w:p>
        </w:tc>
        <w:tc>
          <w:tcPr>
            <w:tcW w:w="1080" w:type="dxa"/>
            <w:vAlign w:val="bottom"/>
          </w:tcPr>
          <w:p>
            <w:pPr>
              <w:jc w:val="right"/>
              <w:spacing w:after="0"/>
              <w:rPr>
                <w:sz w:val="20"/>
                <w:szCs w:val="20"/>
                <w:color w:val="auto"/>
              </w:rPr>
            </w:pPr>
            <w:r>
              <w:rPr>
                <w:rFonts w:ascii="Arial" w:cs="Arial" w:eastAsia="Arial" w:hAnsi="Arial"/>
                <w:sz w:val="22"/>
                <w:szCs w:val="22"/>
                <w:color w:val="auto"/>
              </w:rPr>
              <w:t>169,455</w:t>
            </w: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22"/>
                <w:szCs w:val="22"/>
                <w:color w:val="auto"/>
              </w:rPr>
              <w:t>34.56</w:t>
            </w: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4620" w:type="dxa"/>
            <w:vAlign w:val="bottom"/>
            <w:shd w:val="clear" w:color="auto" w:fill="CCEEFF"/>
          </w:tcPr>
          <w:p>
            <w:pPr>
              <w:ind w:left="80"/>
              <w:spacing w:after="0"/>
              <w:rPr>
                <w:sz w:val="20"/>
                <w:szCs w:val="20"/>
                <w:color w:val="auto"/>
              </w:rPr>
            </w:pPr>
            <w:r>
              <w:rPr>
                <w:rFonts w:ascii="Arial" w:cs="Arial" w:eastAsia="Arial" w:hAnsi="Arial"/>
                <w:sz w:val="22"/>
                <w:szCs w:val="22"/>
                <w:color w:val="auto"/>
              </w:rPr>
              <w:t>Forfeited</w:t>
            </w: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22"/>
                <w:szCs w:val="22"/>
                <w:color w:val="auto"/>
              </w:rPr>
              <w:t>(7,648)</w:t>
            </w:r>
          </w:p>
        </w:tc>
        <w:tc>
          <w:tcPr>
            <w:tcW w:w="160" w:type="dxa"/>
            <w:vAlign w:val="bottom"/>
            <w:shd w:val="clear" w:color="auto" w:fill="CCEEFF"/>
          </w:tcPr>
          <w:p>
            <w:pPr>
              <w:spacing w:after="0"/>
              <w:rPr>
                <w:sz w:val="24"/>
                <w:szCs w:val="2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22"/>
                <w:szCs w:val="22"/>
                <w:color w:val="auto"/>
              </w:rPr>
              <w:t>32.57</w:t>
            </w:r>
          </w:p>
        </w:tc>
        <w:tc>
          <w:tcPr>
            <w:tcW w:w="16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4620" w:type="dxa"/>
            <w:vAlign w:val="bottom"/>
          </w:tcPr>
          <w:p>
            <w:pPr>
              <w:ind w:left="80"/>
              <w:spacing w:after="0"/>
              <w:rPr>
                <w:sz w:val="20"/>
                <w:szCs w:val="20"/>
                <w:color w:val="auto"/>
              </w:rPr>
            </w:pPr>
            <w:r>
              <w:rPr>
                <w:rFonts w:ascii="Arial" w:cs="Arial" w:eastAsia="Arial" w:hAnsi="Arial"/>
                <w:sz w:val="22"/>
                <w:szCs w:val="22"/>
                <w:color w:val="auto"/>
              </w:rPr>
              <w:t>Expired / Cancelled</w:t>
            </w:r>
          </w:p>
        </w:tc>
        <w:tc>
          <w:tcPr>
            <w:tcW w:w="1240" w:type="dxa"/>
            <w:vAlign w:val="bottom"/>
            <w:gridSpan w:val="2"/>
          </w:tcPr>
          <w:p>
            <w:pPr>
              <w:jc w:val="right"/>
              <w:ind w:right="160"/>
              <w:spacing w:after="0"/>
              <w:rPr>
                <w:sz w:val="20"/>
                <w:szCs w:val="20"/>
                <w:color w:val="auto"/>
              </w:rPr>
            </w:pPr>
            <w:r>
              <w:rPr>
                <w:rFonts w:ascii="Arial" w:cs="Arial" w:eastAsia="Arial" w:hAnsi="Arial"/>
                <w:sz w:val="22"/>
                <w:szCs w:val="22"/>
                <w:color w:val="auto"/>
              </w:rPr>
              <w:t>(198)</w:t>
            </w:r>
          </w:p>
        </w:tc>
        <w:tc>
          <w:tcPr>
            <w:tcW w:w="1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22"/>
                <w:szCs w:val="22"/>
                <w:color w:val="auto"/>
              </w:rPr>
              <w:t>30.47</w:t>
            </w: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4620" w:type="dxa"/>
            <w:vAlign w:val="bottom"/>
            <w:shd w:val="clear" w:color="auto" w:fill="CCEEFF"/>
          </w:tcPr>
          <w:p>
            <w:pPr>
              <w:ind w:left="80"/>
              <w:spacing w:after="0"/>
              <w:rPr>
                <w:sz w:val="20"/>
                <w:szCs w:val="20"/>
                <w:color w:val="auto"/>
              </w:rPr>
            </w:pPr>
            <w:r>
              <w:rPr>
                <w:rFonts w:ascii="Arial" w:cs="Arial" w:eastAsia="Arial" w:hAnsi="Arial"/>
                <w:sz w:val="22"/>
                <w:szCs w:val="22"/>
                <w:color w:val="auto"/>
              </w:rPr>
              <w:t>Exercised</w:t>
            </w: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22"/>
                <w:szCs w:val="22"/>
                <w:color w:val="auto"/>
              </w:rPr>
              <w:t>(74,976)</w:t>
            </w:r>
          </w:p>
        </w:tc>
        <w:tc>
          <w:tcPr>
            <w:tcW w:w="160" w:type="dxa"/>
            <w:vAlign w:val="bottom"/>
            <w:shd w:val="clear" w:color="auto" w:fill="CCEEFF"/>
          </w:tcPr>
          <w:p>
            <w:pPr>
              <w:spacing w:after="0"/>
              <w:rPr>
                <w:sz w:val="24"/>
                <w:szCs w:val="2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22"/>
                <w:szCs w:val="22"/>
                <w:color w:val="auto"/>
              </w:rPr>
              <w:t>16.03</w:t>
            </w:r>
          </w:p>
        </w:tc>
        <w:tc>
          <w:tcPr>
            <w:tcW w:w="16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4640" w:type="dxa"/>
            <w:vAlign w:val="bottom"/>
            <w:gridSpan w:val="2"/>
          </w:tcPr>
          <w:p>
            <w:pPr>
              <w:spacing w:after="0" w:line="250" w:lineRule="exact"/>
              <w:rPr>
                <w:sz w:val="20"/>
                <w:szCs w:val="20"/>
                <w:color w:val="auto"/>
              </w:rPr>
            </w:pPr>
            <w:r>
              <w:rPr>
                <w:rFonts w:ascii="Arial" w:cs="Arial" w:eastAsia="Arial" w:hAnsi="Arial"/>
                <w:sz w:val="22"/>
                <w:szCs w:val="22"/>
                <w:color w:val="auto"/>
              </w:rPr>
              <w:t>Outstanding at end of period</w:t>
            </w:r>
          </w:p>
        </w:tc>
        <w:tc>
          <w:tcPr>
            <w:tcW w:w="1080" w:type="dxa"/>
            <w:vAlign w:val="bottom"/>
            <w:tcBorders>
              <w:top w:val="single" w:sz="8" w:color="auto"/>
            </w:tcBorders>
          </w:tcPr>
          <w:p>
            <w:pPr>
              <w:jc w:val="right"/>
              <w:spacing w:after="0" w:line="250" w:lineRule="exact"/>
              <w:rPr>
                <w:sz w:val="20"/>
                <w:szCs w:val="20"/>
                <w:color w:val="auto"/>
              </w:rPr>
            </w:pPr>
            <w:r>
              <w:rPr>
                <w:rFonts w:ascii="Arial" w:cs="Arial" w:eastAsia="Arial" w:hAnsi="Arial"/>
                <w:sz w:val="22"/>
                <w:szCs w:val="22"/>
                <w:color w:val="auto"/>
              </w:rPr>
              <w:t>451,565</w:t>
            </w:r>
          </w:p>
        </w:tc>
        <w:tc>
          <w:tcPr>
            <w:tcW w:w="160" w:type="dxa"/>
            <w:vAlign w:val="bottom"/>
          </w:tcPr>
          <w:p>
            <w:pPr>
              <w:spacing w:after="0"/>
              <w:rPr>
                <w:sz w:val="22"/>
                <w:szCs w:val="22"/>
                <w:color w:val="auto"/>
              </w:rPr>
            </w:pPr>
          </w:p>
        </w:tc>
        <w:tc>
          <w:tcPr>
            <w:tcW w:w="160" w:type="dxa"/>
            <w:vAlign w:val="bottom"/>
          </w:tcPr>
          <w:p>
            <w:pPr>
              <w:jc w:val="right"/>
              <w:spacing w:after="0" w:line="250" w:lineRule="exact"/>
              <w:rPr>
                <w:sz w:val="20"/>
                <w:szCs w:val="20"/>
                <w:color w:val="auto"/>
              </w:rPr>
            </w:pPr>
            <w:r>
              <w:rPr>
                <w:rFonts w:ascii="Arial" w:cs="Arial" w:eastAsia="Arial" w:hAnsi="Arial"/>
                <w:sz w:val="22"/>
                <w:szCs w:val="22"/>
                <w:color w:val="auto"/>
              </w:rPr>
              <w:t>$</w:t>
            </w:r>
          </w:p>
        </w:tc>
        <w:tc>
          <w:tcPr>
            <w:tcW w:w="900" w:type="dxa"/>
            <w:vAlign w:val="bottom"/>
          </w:tcPr>
          <w:p>
            <w:pPr>
              <w:jc w:val="right"/>
              <w:spacing w:after="0" w:line="250" w:lineRule="exact"/>
              <w:rPr>
                <w:sz w:val="20"/>
                <w:szCs w:val="20"/>
                <w:color w:val="auto"/>
              </w:rPr>
            </w:pPr>
            <w:r>
              <w:rPr>
                <w:rFonts w:ascii="Arial" w:cs="Arial" w:eastAsia="Arial" w:hAnsi="Arial"/>
                <w:sz w:val="22"/>
                <w:szCs w:val="22"/>
                <w:color w:val="auto"/>
              </w:rPr>
              <w:t>25.76</w:t>
            </w:r>
          </w:p>
        </w:tc>
        <w:tc>
          <w:tcPr>
            <w:tcW w:w="160" w:type="dxa"/>
            <w:vAlign w:val="bottom"/>
          </w:tcPr>
          <w:p>
            <w:pPr>
              <w:spacing w:after="0"/>
              <w:rPr>
                <w:sz w:val="22"/>
                <w:szCs w:val="22"/>
                <w:color w:val="auto"/>
              </w:rPr>
            </w:pPr>
          </w:p>
        </w:tc>
        <w:tc>
          <w:tcPr>
            <w:tcW w:w="1020" w:type="dxa"/>
            <w:vAlign w:val="bottom"/>
          </w:tcPr>
          <w:p>
            <w:pPr>
              <w:jc w:val="right"/>
              <w:spacing w:after="0" w:line="250" w:lineRule="exact"/>
              <w:rPr>
                <w:sz w:val="20"/>
                <w:szCs w:val="20"/>
                <w:color w:val="auto"/>
              </w:rPr>
            </w:pPr>
            <w:r>
              <w:rPr>
                <w:rFonts w:ascii="Arial" w:cs="Arial" w:eastAsia="Arial" w:hAnsi="Arial"/>
                <w:sz w:val="22"/>
                <w:szCs w:val="22"/>
                <w:color w:val="auto"/>
              </w:rPr>
              <w:t>5.8</w:t>
            </w:r>
          </w:p>
        </w:tc>
        <w:tc>
          <w:tcPr>
            <w:tcW w:w="160" w:type="dxa"/>
            <w:vAlign w:val="bottom"/>
          </w:tcPr>
          <w:p>
            <w:pPr>
              <w:spacing w:after="0"/>
              <w:rPr>
                <w:sz w:val="22"/>
                <w:szCs w:val="22"/>
                <w:color w:val="auto"/>
              </w:rPr>
            </w:pPr>
          </w:p>
        </w:tc>
        <w:tc>
          <w:tcPr>
            <w:tcW w:w="180" w:type="dxa"/>
            <w:vAlign w:val="bottom"/>
          </w:tcPr>
          <w:p>
            <w:pPr>
              <w:jc w:val="right"/>
              <w:spacing w:after="0" w:line="250" w:lineRule="exact"/>
              <w:rPr>
                <w:sz w:val="20"/>
                <w:szCs w:val="20"/>
                <w:color w:val="auto"/>
              </w:rPr>
            </w:pPr>
            <w:r>
              <w:rPr>
                <w:rFonts w:ascii="Arial" w:cs="Arial" w:eastAsia="Arial" w:hAnsi="Arial"/>
                <w:sz w:val="22"/>
                <w:szCs w:val="22"/>
                <w:color w:val="auto"/>
              </w:rPr>
              <w:t>$</w:t>
            </w:r>
          </w:p>
        </w:tc>
        <w:tc>
          <w:tcPr>
            <w:tcW w:w="1080" w:type="dxa"/>
            <w:vAlign w:val="bottom"/>
          </w:tcPr>
          <w:p>
            <w:pPr>
              <w:jc w:val="right"/>
              <w:spacing w:after="0" w:line="250" w:lineRule="exact"/>
              <w:rPr>
                <w:sz w:val="20"/>
                <w:szCs w:val="20"/>
                <w:color w:val="auto"/>
              </w:rPr>
            </w:pPr>
            <w:r>
              <w:rPr>
                <w:rFonts w:ascii="Arial" w:cs="Arial" w:eastAsia="Arial" w:hAnsi="Arial"/>
                <w:sz w:val="22"/>
                <w:szCs w:val="22"/>
                <w:color w:val="auto"/>
              </w:rPr>
              <w:t>5,028</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4620" w:type="dxa"/>
            <w:vAlign w:val="bottom"/>
            <w:tcBorders>
              <w:top w:val="single" w:sz="8" w:color="CCEEFF"/>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20" w:type="dxa"/>
            <w:vAlign w:val="bottom"/>
            <w:vMerge w:val="continue"/>
          </w:tcPr>
          <w:p>
            <w:pPr>
              <w:spacing w:after="0"/>
              <w:rPr>
                <w:sz w:val="21"/>
                <w:szCs w:val="21"/>
                <w:color w:val="auto"/>
              </w:rPr>
            </w:pPr>
          </w:p>
        </w:tc>
        <w:tc>
          <w:tcPr>
            <w:tcW w:w="4620" w:type="dxa"/>
            <w:vAlign w:val="bottom"/>
          </w:tcPr>
          <w:p>
            <w:pPr>
              <w:spacing w:after="0" w:line="243" w:lineRule="exact"/>
              <w:rPr>
                <w:sz w:val="20"/>
                <w:szCs w:val="20"/>
                <w:color w:val="auto"/>
              </w:rPr>
            </w:pPr>
            <w:r>
              <w:rPr>
                <w:rFonts w:ascii="Arial" w:cs="Arial" w:eastAsia="Arial" w:hAnsi="Arial"/>
                <w:sz w:val="22"/>
                <w:szCs w:val="22"/>
                <w:color w:val="auto"/>
              </w:rPr>
              <w:t>Exercisable at end of period</w:t>
            </w:r>
          </w:p>
        </w:tc>
        <w:tc>
          <w:tcPr>
            <w:tcW w:w="1080" w:type="dxa"/>
            <w:vAlign w:val="bottom"/>
            <w:tcBorders>
              <w:bottom w:val="single" w:sz="8" w:color="auto"/>
            </w:tcBorders>
          </w:tcPr>
          <w:p>
            <w:pPr>
              <w:jc w:val="right"/>
              <w:spacing w:after="0" w:line="243" w:lineRule="exact"/>
              <w:rPr>
                <w:sz w:val="20"/>
                <w:szCs w:val="20"/>
                <w:color w:val="auto"/>
              </w:rPr>
            </w:pPr>
            <w:r>
              <w:rPr>
                <w:rFonts w:ascii="Arial" w:cs="Arial" w:eastAsia="Arial" w:hAnsi="Arial"/>
                <w:sz w:val="22"/>
                <w:szCs w:val="22"/>
                <w:color w:val="auto"/>
              </w:rPr>
              <w:t>213,149</w:t>
            </w:r>
          </w:p>
        </w:tc>
        <w:tc>
          <w:tcPr>
            <w:tcW w:w="16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jc w:val="right"/>
              <w:spacing w:after="0" w:line="243" w:lineRule="exact"/>
              <w:rPr>
                <w:sz w:val="20"/>
                <w:szCs w:val="20"/>
                <w:color w:val="auto"/>
              </w:rPr>
            </w:pPr>
            <w:r>
              <w:rPr>
                <w:rFonts w:ascii="Arial" w:cs="Arial" w:eastAsia="Arial" w:hAnsi="Arial"/>
                <w:sz w:val="22"/>
                <w:szCs w:val="22"/>
                <w:color w:val="auto"/>
              </w:rPr>
              <w:t>$</w:t>
            </w:r>
          </w:p>
        </w:tc>
        <w:tc>
          <w:tcPr>
            <w:tcW w:w="900" w:type="dxa"/>
            <w:vAlign w:val="bottom"/>
            <w:tcBorders>
              <w:bottom w:val="single" w:sz="8" w:color="auto"/>
            </w:tcBorders>
          </w:tcPr>
          <w:p>
            <w:pPr>
              <w:jc w:val="right"/>
              <w:spacing w:after="0" w:line="243" w:lineRule="exact"/>
              <w:rPr>
                <w:sz w:val="20"/>
                <w:szCs w:val="20"/>
                <w:color w:val="auto"/>
              </w:rPr>
            </w:pPr>
            <w:r>
              <w:rPr>
                <w:rFonts w:ascii="Arial" w:cs="Arial" w:eastAsia="Arial" w:hAnsi="Arial"/>
                <w:sz w:val="22"/>
                <w:szCs w:val="22"/>
                <w:color w:val="auto"/>
              </w:rPr>
              <w:t>17.33</w:t>
            </w:r>
          </w:p>
        </w:tc>
        <w:tc>
          <w:tcPr>
            <w:tcW w:w="16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line="243" w:lineRule="exact"/>
              <w:rPr>
                <w:sz w:val="20"/>
                <w:szCs w:val="20"/>
                <w:color w:val="auto"/>
              </w:rPr>
            </w:pPr>
            <w:r>
              <w:rPr>
                <w:rFonts w:ascii="Arial" w:cs="Arial" w:eastAsia="Arial" w:hAnsi="Arial"/>
                <w:sz w:val="22"/>
                <w:szCs w:val="22"/>
                <w:color w:val="auto"/>
              </w:rPr>
              <w:t>2.2</w:t>
            </w:r>
          </w:p>
        </w:tc>
        <w:tc>
          <w:tcPr>
            <w:tcW w:w="16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jc w:val="right"/>
              <w:spacing w:after="0" w:line="243" w:lineRule="exact"/>
              <w:rPr>
                <w:sz w:val="20"/>
                <w:szCs w:val="20"/>
                <w:color w:val="auto"/>
              </w:rPr>
            </w:pPr>
            <w:r>
              <w:rPr>
                <w:rFonts w:ascii="Arial" w:cs="Arial" w:eastAsia="Arial" w:hAnsi="Arial"/>
                <w:sz w:val="22"/>
                <w:szCs w:val="22"/>
                <w:color w:val="auto"/>
              </w:rPr>
              <w:t>$</w:t>
            </w:r>
          </w:p>
        </w:tc>
        <w:tc>
          <w:tcPr>
            <w:tcW w:w="1080" w:type="dxa"/>
            <w:vAlign w:val="bottom"/>
            <w:tcBorders>
              <w:bottom w:val="single" w:sz="8" w:color="auto"/>
            </w:tcBorders>
          </w:tcPr>
          <w:p>
            <w:pPr>
              <w:jc w:val="right"/>
              <w:spacing w:after="0" w:line="243" w:lineRule="exact"/>
              <w:rPr>
                <w:sz w:val="20"/>
                <w:szCs w:val="20"/>
                <w:color w:val="auto"/>
              </w:rPr>
            </w:pPr>
            <w:r>
              <w:rPr>
                <w:rFonts w:ascii="Arial" w:cs="Arial" w:eastAsia="Arial" w:hAnsi="Arial"/>
                <w:sz w:val="22"/>
                <w:szCs w:val="22"/>
                <w:color w:val="auto"/>
              </w:rPr>
              <w:t>4,172</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726"/>
        </w:trPr>
        <w:tc>
          <w:tcPr>
            <w:tcW w:w="20" w:type="dxa"/>
            <w:vAlign w:val="bottom"/>
          </w:tcPr>
          <w:p>
            <w:pPr>
              <w:spacing w:after="0"/>
              <w:rPr>
                <w:sz w:val="24"/>
                <w:szCs w:val="24"/>
                <w:color w:val="auto"/>
              </w:rPr>
            </w:pPr>
          </w:p>
        </w:tc>
        <w:tc>
          <w:tcPr>
            <w:tcW w:w="4620" w:type="dxa"/>
            <w:vAlign w:val="bottom"/>
          </w:tcPr>
          <w:p>
            <w:pPr>
              <w:spacing w:after="0"/>
              <w:rPr>
                <w:sz w:val="24"/>
                <w:szCs w:val="24"/>
                <w:color w:val="auto"/>
              </w:rPr>
            </w:pPr>
          </w:p>
        </w:tc>
        <w:tc>
          <w:tcPr>
            <w:tcW w:w="1080" w:type="dxa"/>
            <w:vAlign w:val="bottom"/>
          </w:tcPr>
          <w:p>
            <w:pPr>
              <w:jc w:val="right"/>
              <w:ind w:right="732"/>
              <w:spacing w:after="0"/>
              <w:rPr>
                <w:sz w:val="20"/>
                <w:szCs w:val="20"/>
                <w:color w:val="auto"/>
              </w:rPr>
            </w:pPr>
            <w:r>
              <w:rPr>
                <w:rFonts w:ascii="Arial" w:cs="Arial" w:eastAsia="Arial" w:hAnsi="Arial"/>
                <w:sz w:val="22"/>
                <w:szCs w:val="22"/>
                <w:color w:val="auto"/>
                <w:w w:val="89"/>
              </w:rPr>
              <w:t>20</w:t>
            </w: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4620" w:type="dxa"/>
            <w:vAlign w:val="bottom"/>
            <w:tcBorders>
              <w:bottom w:val="single" w:sz="8" w:color="9A9A9A"/>
            </w:tcBorders>
          </w:tcPr>
          <w:p>
            <w:pPr>
              <w:spacing w:after="0"/>
              <w:rPr>
                <w:sz w:val="8"/>
                <w:szCs w:val="8"/>
                <w:color w:val="auto"/>
              </w:rPr>
            </w:pPr>
          </w:p>
        </w:tc>
        <w:tc>
          <w:tcPr>
            <w:tcW w:w="108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90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102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108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20" w:type="dxa"/>
            <w:vAlign w:val="bottom"/>
            <w:tcBorders>
              <w:bottom w:val="single" w:sz="8" w:color="EEEEEE"/>
            </w:tcBorders>
          </w:tcPr>
          <w:p>
            <w:pPr>
              <w:spacing w:after="0" w:line="20" w:lineRule="exact"/>
              <w:rPr>
                <w:sz w:val="1"/>
                <w:szCs w:val="1"/>
                <w:color w:val="auto"/>
              </w:rPr>
            </w:pPr>
          </w:p>
        </w:tc>
        <w:tc>
          <w:tcPr>
            <w:tcW w:w="108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90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102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180" w:type="dxa"/>
            <w:vAlign w:val="bottom"/>
            <w:tcBorders>
              <w:bottom w:val="single" w:sz="8" w:color="EEEEEE"/>
            </w:tcBorders>
          </w:tcPr>
          <w:p>
            <w:pPr>
              <w:spacing w:after="0" w:line="20" w:lineRule="exact"/>
              <w:rPr>
                <w:sz w:val="1"/>
                <w:szCs w:val="1"/>
                <w:color w:val="auto"/>
              </w:rPr>
            </w:pPr>
          </w:p>
        </w:tc>
        <w:tc>
          <w:tcPr>
            <w:tcW w:w="1080" w:type="dxa"/>
            <w:vAlign w:val="bottom"/>
            <w:tcBorders>
              <w:bottom w:val="single" w:sz="8" w:color="EEEEEE"/>
            </w:tcBorders>
          </w:tcPr>
          <w:p>
            <w:pPr>
              <w:spacing w:after="0" w:line="20" w:lineRule="exact"/>
              <w:rPr>
                <w:sz w:val="1"/>
                <w:szCs w:val="1"/>
                <w:color w:val="auto"/>
              </w:rPr>
            </w:pPr>
          </w:p>
        </w:tc>
        <w:tc>
          <w:tcPr>
            <w:tcW w:w="40" w:type="dxa"/>
            <w:vAlign w:val="bottom"/>
            <w:tcBorders>
              <w:bottom w:val="single" w:sz="8" w:color="EEEE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6068060</wp:posOffset>
            </wp:positionH>
            <wp:positionV relativeFrom="paragraph">
              <wp:posOffset>-38100</wp:posOffset>
            </wp:positionV>
            <wp:extent cx="34290" cy="514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4290" cy="51435"/>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-38100</wp:posOffset>
            </wp:positionV>
            <wp:extent cx="34290" cy="514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4290" cy="51435"/>
                    </a:xfrm>
                    <a:prstGeom prst="rect">
                      <a:avLst/>
                    </a:prstGeom>
                    <a:noFill/>
                  </pic:spPr>
                </pic:pic>
              </a:graphicData>
            </a:graphic>
          </wp:anchor>
        </w:drawing>
      </w:r>
    </w:p>
    <w:p>
      <w:pPr>
        <w:sectPr>
          <w:pgSz w:w="11900" w:h="16838" w:orient="portrait"/>
          <w:cols w:equalWidth="0" w:num="1">
            <w:col w:w="9580"/>
          </w:cols>
          <w:pgMar w:left="1220" w:top="118" w:right="1099" w:bottom="1440" w:gutter="0" w:footer="0" w:header="0"/>
        </w:sectPr>
      </w:pPr>
    </w:p>
    <w:bookmarkStart w:id="22" w:name="page23"/>
    <w:bookmarkEnd w:id="22"/>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AQUA AMERICA, INC. AND SUBSIDIARIES NOTES TO CONSOLIDATED FINANCIAL STATEMENTS (continued) (In thousands of dollars, except per share amounts) (UNAUDITED)</w:t>
      </w:r>
    </w:p>
    <w:p>
      <w:pPr>
        <w:spacing w:after="0" w:line="200" w:lineRule="exact"/>
        <w:rPr>
          <w:sz w:val="20"/>
          <w:szCs w:val="20"/>
          <w:color w:val="auto"/>
        </w:rPr>
      </w:pPr>
    </w:p>
    <w:p>
      <w:pPr>
        <w:spacing w:after="0" w:line="239" w:lineRule="exact"/>
        <w:rPr>
          <w:sz w:val="20"/>
          <w:szCs w:val="20"/>
          <w:color w:val="auto"/>
        </w:rPr>
      </w:pPr>
    </w:p>
    <w:p>
      <w:pPr>
        <w:ind w:right="260"/>
        <w:spacing w:after="0" w:line="287" w:lineRule="auto"/>
        <w:rPr>
          <w:sz w:val="20"/>
          <w:szCs w:val="20"/>
          <w:color w:val="auto"/>
        </w:rPr>
      </w:pPr>
      <w:r>
        <w:rPr>
          <w:rFonts w:ascii="Arial" w:cs="Arial" w:eastAsia="Arial" w:hAnsi="Arial"/>
          <w:sz w:val="19"/>
          <w:szCs w:val="19"/>
          <w:b w:val="1"/>
          <w:bCs w:val="1"/>
          <w:i w:val="1"/>
          <w:iCs w:val="1"/>
          <w:color w:val="auto"/>
        </w:rPr>
        <w:t xml:space="preserve">Stock Awards </w:t>
      </w:r>
      <w:r>
        <w:rPr>
          <w:rFonts w:ascii="Arial" w:cs="Arial" w:eastAsia="Arial" w:hAnsi="Arial"/>
          <w:sz w:val="19"/>
          <w:szCs w:val="19"/>
          <w:color w:val="auto"/>
        </w:rPr>
        <w:t>– Stock awards represent the issuance of the Company’s common stock, without</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restriction. The issuance of stock awards results in compensation expense which is equal to the fair market value of the stock on the grant date, and is expensed immediately upon grant. The following table provides the compensation cost and income tax benefit for stock-based compensation related to stock awards:</w:t>
      </w: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9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440" w:type="dxa"/>
            <w:vAlign w:val="bottom"/>
            <w:gridSpan w:val="5"/>
          </w:tcPr>
          <w:p>
            <w:pPr>
              <w:jc w:val="center"/>
              <w:ind w:right="500"/>
              <w:spacing w:after="0"/>
              <w:rPr>
                <w:sz w:val="20"/>
                <w:szCs w:val="20"/>
                <w:color w:val="auto"/>
              </w:rPr>
            </w:pPr>
            <w:r>
              <w:rPr>
                <w:rFonts w:ascii="Arial" w:cs="Arial" w:eastAsia="Arial" w:hAnsi="Arial"/>
                <w:sz w:val="22"/>
                <w:szCs w:val="22"/>
                <w:color w:val="auto"/>
                <w:w w:val="88"/>
              </w:rPr>
              <w:t>Three Months Ended</w:t>
            </w:r>
          </w:p>
        </w:tc>
        <w:tc>
          <w:tcPr>
            <w:tcW w:w="300" w:type="dxa"/>
            <w:vAlign w:val="bottom"/>
          </w:tcPr>
          <w:p>
            <w:pPr>
              <w:spacing w:after="0"/>
              <w:rPr>
                <w:sz w:val="21"/>
                <w:szCs w:val="21"/>
                <w:color w:val="auto"/>
              </w:rPr>
            </w:pPr>
          </w:p>
        </w:tc>
        <w:tc>
          <w:tcPr>
            <w:tcW w:w="2560" w:type="dxa"/>
            <w:vAlign w:val="bottom"/>
            <w:gridSpan w:val="4"/>
          </w:tcPr>
          <w:p>
            <w:pPr>
              <w:jc w:val="right"/>
              <w:ind w:right="452"/>
              <w:spacing w:after="0"/>
              <w:rPr>
                <w:sz w:val="20"/>
                <w:szCs w:val="20"/>
                <w:color w:val="auto"/>
              </w:rPr>
            </w:pPr>
            <w:r>
              <w:rPr>
                <w:rFonts w:ascii="Arial" w:cs="Arial" w:eastAsia="Arial" w:hAnsi="Arial"/>
                <w:sz w:val="22"/>
                <w:szCs w:val="22"/>
                <w:color w:val="auto"/>
              </w:rPr>
              <w:t>Nine Months Ended</w:t>
            </w:r>
          </w:p>
        </w:tc>
      </w:tr>
      <w:tr>
        <w:trPr>
          <w:trHeight w:val="265"/>
        </w:trPr>
        <w:tc>
          <w:tcPr>
            <w:tcW w:w="39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2440" w:type="dxa"/>
            <w:vAlign w:val="bottom"/>
            <w:gridSpan w:val="5"/>
          </w:tcPr>
          <w:p>
            <w:pPr>
              <w:jc w:val="center"/>
              <w:ind w:right="500"/>
              <w:spacing w:after="0"/>
              <w:rPr>
                <w:sz w:val="20"/>
                <w:szCs w:val="20"/>
                <w:color w:val="auto"/>
              </w:rPr>
            </w:pPr>
            <w:r>
              <w:rPr>
                <w:rFonts w:ascii="Arial" w:cs="Arial" w:eastAsia="Arial" w:hAnsi="Arial"/>
                <w:sz w:val="22"/>
                <w:szCs w:val="22"/>
                <w:color w:val="auto"/>
                <w:w w:val="87"/>
              </w:rPr>
              <w:t>September 30,</w:t>
            </w:r>
          </w:p>
        </w:tc>
        <w:tc>
          <w:tcPr>
            <w:tcW w:w="300" w:type="dxa"/>
            <w:vAlign w:val="bottom"/>
          </w:tcPr>
          <w:p>
            <w:pPr>
              <w:spacing w:after="0"/>
              <w:rPr>
                <w:sz w:val="23"/>
                <w:szCs w:val="23"/>
                <w:color w:val="auto"/>
              </w:rPr>
            </w:pPr>
          </w:p>
        </w:tc>
        <w:tc>
          <w:tcPr>
            <w:tcW w:w="2560" w:type="dxa"/>
            <w:vAlign w:val="bottom"/>
            <w:gridSpan w:val="4"/>
          </w:tcPr>
          <w:p>
            <w:pPr>
              <w:jc w:val="right"/>
              <w:ind w:right="692"/>
              <w:spacing w:after="0"/>
              <w:rPr>
                <w:sz w:val="20"/>
                <w:szCs w:val="20"/>
                <w:color w:val="auto"/>
              </w:rPr>
            </w:pPr>
            <w:r>
              <w:rPr>
                <w:rFonts w:ascii="Arial" w:cs="Arial" w:eastAsia="Arial" w:hAnsi="Arial"/>
                <w:sz w:val="22"/>
                <w:szCs w:val="22"/>
                <w:color w:val="auto"/>
              </w:rPr>
              <w:t>September 30,</w:t>
            </w:r>
          </w:p>
        </w:tc>
      </w:tr>
      <w:tr>
        <w:trPr>
          <w:trHeight w:val="237"/>
        </w:trPr>
        <w:tc>
          <w:tcPr>
            <w:tcW w:w="3960" w:type="dxa"/>
            <w:vAlign w:val="bottom"/>
            <w:tcBorders>
              <w:bottom w:val="single" w:sz="8" w:color="CCEEFF"/>
            </w:tcBorders>
          </w:tcPr>
          <w:p>
            <w:pPr>
              <w:spacing w:after="0"/>
              <w:rPr>
                <w:sz w:val="20"/>
                <w:szCs w:val="20"/>
                <w:color w:val="auto"/>
              </w:rPr>
            </w:pPr>
          </w:p>
        </w:tc>
        <w:tc>
          <w:tcPr>
            <w:tcW w:w="280" w:type="dxa"/>
            <w:vAlign w:val="bottom"/>
            <w:tcBorders>
              <w:top w:val="single" w:sz="8" w:color="auto"/>
              <w:bottom w:val="single" w:sz="8" w:color="auto"/>
            </w:tcBorders>
          </w:tcPr>
          <w:p>
            <w:pPr>
              <w:spacing w:after="0"/>
              <w:rPr>
                <w:sz w:val="20"/>
                <w:szCs w:val="20"/>
                <w:color w:val="auto"/>
              </w:rPr>
            </w:pPr>
          </w:p>
        </w:tc>
        <w:tc>
          <w:tcPr>
            <w:tcW w:w="860" w:type="dxa"/>
            <w:vAlign w:val="bottom"/>
            <w:tcBorders>
              <w:top w:val="single" w:sz="8" w:color="auto"/>
              <w:bottom w:val="single" w:sz="8" w:color="auto"/>
            </w:tcBorders>
          </w:tcPr>
          <w:p>
            <w:pPr>
              <w:jc w:val="right"/>
              <w:ind w:right="252"/>
              <w:spacing w:after="0" w:line="237" w:lineRule="exact"/>
              <w:rPr>
                <w:sz w:val="20"/>
                <w:szCs w:val="20"/>
                <w:color w:val="auto"/>
              </w:rPr>
            </w:pPr>
            <w:r>
              <w:rPr>
                <w:rFonts w:ascii="Arial" w:cs="Arial" w:eastAsia="Arial" w:hAnsi="Arial"/>
                <w:sz w:val="22"/>
                <w:szCs w:val="22"/>
                <w:color w:val="auto"/>
                <w:w w:val="98"/>
              </w:rPr>
              <w:t>2018</w:t>
            </w:r>
          </w:p>
        </w:tc>
        <w:tc>
          <w:tcPr>
            <w:tcW w:w="180" w:type="dxa"/>
            <w:vAlign w:val="bottom"/>
            <w:tcBorders>
              <w:top w:val="single" w:sz="8" w:color="auto"/>
              <w:bottom w:val="single" w:sz="8" w:color="CCEEFF"/>
            </w:tcBorders>
          </w:tcPr>
          <w:p>
            <w:pPr>
              <w:spacing w:after="0"/>
              <w:rPr>
                <w:sz w:val="20"/>
                <w:szCs w:val="20"/>
                <w:color w:val="auto"/>
              </w:rPr>
            </w:pPr>
          </w:p>
        </w:tc>
        <w:tc>
          <w:tcPr>
            <w:tcW w:w="30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72"/>
              <w:spacing w:after="0" w:line="237" w:lineRule="exact"/>
              <w:rPr>
                <w:sz w:val="20"/>
                <w:szCs w:val="20"/>
                <w:color w:val="auto"/>
              </w:rPr>
            </w:pPr>
            <w:r>
              <w:rPr>
                <w:rFonts w:ascii="Arial" w:cs="Arial" w:eastAsia="Arial" w:hAnsi="Arial"/>
                <w:sz w:val="22"/>
                <w:szCs w:val="22"/>
                <w:color w:val="auto"/>
                <w:w w:val="98"/>
              </w:rPr>
              <w:t>2017</w:t>
            </w:r>
          </w:p>
        </w:tc>
        <w:tc>
          <w:tcPr>
            <w:tcW w:w="220" w:type="dxa"/>
            <w:vAlign w:val="bottom"/>
            <w:tcBorders>
              <w:bottom w:val="single" w:sz="8" w:color="CCEEFF"/>
            </w:tcBorders>
          </w:tcPr>
          <w:p>
            <w:pPr>
              <w:spacing w:after="0"/>
              <w:rPr>
                <w:sz w:val="20"/>
                <w:szCs w:val="20"/>
                <w:color w:val="auto"/>
              </w:rPr>
            </w:pPr>
          </w:p>
        </w:tc>
        <w:tc>
          <w:tcPr>
            <w:tcW w:w="300" w:type="dxa"/>
            <w:vAlign w:val="bottom"/>
            <w:tcBorders>
              <w:top w:val="single" w:sz="8" w:color="auto"/>
              <w:bottom w:val="single" w:sz="8" w:color="auto"/>
            </w:tcBorders>
          </w:tcPr>
          <w:p>
            <w:pPr>
              <w:spacing w:after="0"/>
              <w:rPr>
                <w:sz w:val="20"/>
                <w:szCs w:val="20"/>
                <w:color w:val="auto"/>
              </w:rPr>
            </w:pPr>
          </w:p>
        </w:tc>
        <w:tc>
          <w:tcPr>
            <w:tcW w:w="1040" w:type="dxa"/>
            <w:vAlign w:val="bottom"/>
            <w:tcBorders>
              <w:top w:val="single" w:sz="8" w:color="auto"/>
              <w:bottom w:val="single" w:sz="8" w:color="auto"/>
            </w:tcBorders>
          </w:tcPr>
          <w:p>
            <w:pPr>
              <w:jc w:val="right"/>
              <w:ind w:right="352"/>
              <w:spacing w:after="0" w:line="237" w:lineRule="exact"/>
              <w:rPr>
                <w:sz w:val="20"/>
                <w:szCs w:val="20"/>
                <w:color w:val="auto"/>
              </w:rPr>
            </w:pPr>
            <w:r>
              <w:rPr>
                <w:rFonts w:ascii="Arial" w:cs="Arial" w:eastAsia="Arial" w:hAnsi="Arial"/>
                <w:sz w:val="22"/>
                <w:szCs w:val="22"/>
                <w:color w:val="auto"/>
              </w:rPr>
              <w:t>2018</w:t>
            </w:r>
          </w:p>
        </w:tc>
        <w:tc>
          <w:tcPr>
            <w:tcW w:w="180" w:type="dxa"/>
            <w:vAlign w:val="bottom"/>
            <w:tcBorders>
              <w:top w:val="single" w:sz="8" w:color="auto"/>
              <w:bottom w:val="single" w:sz="8" w:color="CCEEFF"/>
            </w:tcBorders>
          </w:tcPr>
          <w:p>
            <w:pPr>
              <w:spacing w:after="0"/>
              <w:rPr>
                <w:sz w:val="20"/>
                <w:szCs w:val="20"/>
                <w:color w:val="auto"/>
              </w:rPr>
            </w:pPr>
          </w:p>
        </w:tc>
        <w:tc>
          <w:tcPr>
            <w:tcW w:w="320" w:type="dxa"/>
            <w:vAlign w:val="bottom"/>
            <w:tcBorders>
              <w:top w:val="single" w:sz="8" w:color="auto"/>
              <w:bottom w:val="single" w:sz="8" w:color="auto"/>
            </w:tcBorders>
          </w:tcPr>
          <w:p>
            <w:pPr>
              <w:spacing w:after="0"/>
              <w:rPr>
                <w:sz w:val="20"/>
                <w:szCs w:val="20"/>
                <w:color w:val="auto"/>
              </w:rPr>
            </w:pPr>
          </w:p>
        </w:tc>
        <w:tc>
          <w:tcPr>
            <w:tcW w:w="1020" w:type="dxa"/>
            <w:vAlign w:val="bottom"/>
            <w:tcBorders>
              <w:top w:val="single" w:sz="8" w:color="auto"/>
              <w:bottom w:val="single" w:sz="8" w:color="auto"/>
            </w:tcBorders>
          </w:tcPr>
          <w:p>
            <w:pPr>
              <w:jc w:val="right"/>
              <w:ind w:right="352"/>
              <w:spacing w:after="0" w:line="237" w:lineRule="exact"/>
              <w:rPr>
                <w:sz w:val="20"/>
                <w:szCs w:val="20"/>
                <w:color w:val="auto"/>
              </w:rPr>
            </w:pPr>
            <w:r>
              <w:rPr>
                <w:rFonts w:ascii="Arial" w:cs="Arial" w:eastAsia="Arial" w:hAnsi="Arial"/>
                <w:sz w:val="22"/>
                <w:szCs w:val="22"/>
                <w:color w:val="auto"/>
              </w:rPr>
              <w:t>2017</w:t>
            </w:r>
          </w:p>
        </w:tc>
      </w:tr>
      <w:tr>
        <w:trPr>
          <w:trHeight w:val="202"/>
        </w:trPr>
        <w:tc>
          <w:tcPr>
            <w:tcW w:w="3960" w:type="dxa"/>
            <w:vAlign w:val="bottom"/>
            <w:shd w:val="clear" w:color="auto" w:fill="CCEEFF"/>
          </w:tcPr>
          <w:p>
            <w:pPr>
              <w:spacing w:after="0" w:line="202" w:lineRule="exact"/>
              <w:rPr>
                <w:sz w:val="20"/>
                <w:szCs w:val="20"/>
                <w:color w:val="auto"/>
              </w:rPr>
            </w:pPr>
            <w:r>
              <w:rPr>
                <w:rFonts w:ascii="Arial" w:cs="Arial" w:eastAsia="Arial" w:hAnsi="Arial"/>
                <w:sz w:val="22"/>
                <w:szCs w:val="22"/>
                <w:color w:val="auto"/>
              </w:rPr>
              <w:t>Stock-based compensation within</w:t>
            </w:r>
          </w:p>
        </w:tc>
        <w:tc>
          <w:tcPr>
            <w:tcW w:w="2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r>
      <w:tr>
        <w:trPr>
          <w:trHeight w:val="265"/>
        </w:trPr>
        <w:tc>
          <w:tcPr>
            <w:tcW w:w="3960" w:type="dxa"/>
            <w:vAlign w:val="bottom"/>
            <w:shd w:val="clear" w:color="auto" w:fill="CCEEFF"/>
          </w:tcPr>
          <w:p>
            <w:pPr>
              <w:spacing w:after="0"/>
              <w:rPr>
                <w:sz w:val="20"/>
                <w:szCs w:val="20"/>
                <w:color w:val="auto"/>
              </w:rPr>
            </w:pPr>
            <w:r>
              <w:rPr>
                <w:rFonts w:ascii="Arial" w:cs="Arial" w:eastAsia="Arial" w:hAnsi="Arial"/>
                <w:sz w:val="22"/>
                <w:szCs w:val="22"/>
                <w:color w:val="auto"/>
              </w:rPr>
              <w:t>operations and maintenance expenses</w:t>
            </w:r>
          </w:p>
        </w:tc>
        <w:tc>
          <w:tcPr>
            <w:tcW w:w="280" w:type="dxa"/>
            <w:vAlign w:val="bottom"/>
            <w:shd w:val="clear" w:color="auto" w:fill="CCEEFF"/>
          </w:tcPr>
          <w:p>
            <w:pPr>
              <w:jc w:val="right"/>
              <w:spacing w:after="0"/>
              <w:rPr>
                <w:sz w:val="20"/>
                <w:szCs w:val="20"/>
                <w:color w:val="auto"/>
              </w:rPr>
            </w:pPr>
            <w:r>
              <w:rPr>
                <w:rFonts w:ascii="Arial" w:cs="Arial" w:eastAsia="Arial" w:hAnsi="Arial"/>
                <w:sz w:val="22"/>
                <w:szCs w:val="22"/>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22"/>
                <w:szCs w:val="22"/>
                <w:color w:val="auto"/>
              </w:rPr>
              <w:t>160</w:t>
            </w:r>
          </w:p>
        </w:tc>
        <w:tc>
          <w:tcPr>
            <w:tcW w:w="180" w:type="dxa"/>
            <w:vAlign w:val="bottom"/>
            <w:shd w:val="clear" w:color="auto" w:fill="CCEEFF"/>
          </w:tcPr>
          <w:p>
            <w:pPr>
              <w:spacing w:after="0"/>
              <w:rPr>
                <w:sz w:val="23"/>
                <w:szCs w:val="23"/>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22"/>
                <w:szCs w:val="22"/>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22"/>
                <w:szCs w:val="22"/>
                <w:color w:val="auto"/>
              </w:rPr>
              <w:t>150</w:t>
            </w:r>
          </w:p>
        </w:tc>
        <w:tc>
          <w:tcPr>
            <w:tcW w:w="220" w:type="dxa"/>
            <w:vAlign w:val="bottom"/>
            <w:shd w:val="clear" w:color="auto" w:fill="CCEEFF"/>
          </w:tcPr>
          <w:p>
            <w:pPr>
              <w:spacing w:after="0"/>
              <w:rPr>
                <w:sz w:val="23"/>
                <w:szCs w:val="23"/>
                <w:color w:val="auto"/>
              </w:rPr>
            </w:pPr>
          </w:p>
        </w:tc>
        <w:tc>
          <w:tcPr>
            <w:tcW w:w="300" w:type="dxa"/>
            <w:vAlign w:val="bottom"/>
            <w:shd w:val="clear" w:color="auto" w:fill="CCEEFF"/>
          </w:tcPr>
          <w:p>
            <w:pPr>
              <w:jc w:val="right"/>
              <w:ind w:right="32"/>
              <w:spacing w:after="0"/>
              <w:rPr>
                <w:sz w:val="20"/>
                <w:szCs w:val="20"/>
                <w:color w:val="auto"/>
              </w:rPr>
            </w:pPr>
            <w:r>
              <w:rPr>
                <w:rFonts w:ascii="Arial" w:cs="Arial" w:eastAsia="Arial" w:hAnsi="Arial"/>
                <w:sz w:val="22"/>
                <w:szCs w:val="22"/>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22"/>
                <w:szCs w:val="22"/>
                <w:color w:val="auto"/>
              </w:rPr>
              <w:t>440</w:t>
            </w:r>
          </w:p>
        </w:tc>
        <w:tc>
          <w:tcPr>
            <w:tcW w:w="180" w:type="dxa"/>
            <w:vAlign w:val="bottom"/>
            <w:shd w:val="clear" w:color="auto" w:fill="CCEEFF"/>
          </w:tcPr>
          <w:p>
            <w:pPr>
              <w:spacing w:after="0"/>
              <w:rPr>
                <w:sz w:val="23"/>
                <w:szCs w:val="23"/>
                <w:color w:val="auto"/>
              </w:rPr>
            </w:pPr>
          </w:p>
        </w:tc>
        <w:tc>
          <w:tcPr>
            <w:tcW w:w="320" w:type="dxa"/>
            <w:vAlign w:val="bottom"/>
            <w:shd w:val="clear" w:color="auto" w:fill="CCEEFF"/>
          </w:tcPr>
          <w:p>
            <w:pPr>
              <w:jc w:val="right"/>
              <w:ind w:right="32"/>
              <w:spacing w:after="0"/>
              <w:rPr>
                <w:sz w:val="20"/>
                <w:szCs w:val="20"/>
                <w:color w:val="auto"/>
              </w:rPr>
            </w:pPr>
            <w:r>
              <w:rPr>
                <w:rFonts w:ascii="Arial" w:cs="Arial" w:eastAsia="Arial" w:hAnsi="Arial"/>
                <w:sz w:val="22"/>
                <w:szCs w:val="22"/>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22"/>
                <w:szCs w:val="22"/>
                <w:color w:val="auto"/>
              </w:rPr>
              <w:t>412</w:t>
            </w:r>
          </w:p>
        </w:tc>
      </w:tr>
      <w:tr>
        <w:trPr>
          <w:trHeight w:val="275"/>
        </w:trPr>
        <w:tc>
          <w:tcPr>
            <w:tcW w:w="3960" w:type="dxa"/>
            <w:vAlign w:val="bottom"/>
          </w:tcPr>
          <w:p>
            <w:pPr>
              <w:spacing w:after="0"/>
              <w:rPr>
                <w:sz w:val="20"/>
                <w:szCs w:val="20"/>
                <w:color w:val="auto"/>
              </w:rPr>
            </w:pPr>
            <w:r>
              <w:rPr>
                <w:rFonts w:ascii="Arial" w:cs="Arial" w:eastAsia="Arial" w:hAnsi="Arial"/>
                <w:sz w:val="22"/>
                <w:szCs w:val="22"/>
                <w:color w:val="auto"/>
              </w:rPr>
              <w:t>Income tax benefit</w:t>
            </w:r>
          </w:p>
        </w:tc>
        <w:tc>
          <w:tcPr>
            <w:tcW w:w="28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22"/>
                <w:szCs w:val="22"/>
                <w:color w:val="auto"/>
              </w:rPr>
              <w:t>46</w:t>
            </w:r>
          </w:p>
        </w:tc>
        <w:tc>
          <w:tcPr>
            <w:tcW w:w="1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22"/>
                <w:szCs w:val="22"/>
                <w:color w:val="auto"/>
              </w:rPr>
              <w:t>62</w:t>
            </w:r>
          </w:p>
        </w:tc>
        <w:tc>
          <w:tcPr>
            <w:tcW w:w="2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22"/>
                <w:szCs w:val="22"/>
                <w:color w:val="auto"/>
              </w:rPr>
              <w:t>127</w:t>
            </w:r>
          </w:p>
        </w:tc>
        <w:tc>
          <w:tcPr>
            <w:tcW w:w="1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22"/>
                <w:szCs w:val="22"/>
                <w:color w:val="auto"/>
              </w:rPr>
              <w:t>171</w:t>
            </w:r>
          </w:p>
        </w:tc>
      </w:tr>
    </w:tbl>
    <w:p>
      <w:pPr>
        <w:spacing w:after="0" w:line="190" w:lineRule="exact"/>
        <w:rPr>
          <w:sz w:val="20"/>
          <w:szCs w:val="20"/>
          <w:color w:val="auto"/>
        </w:rPr>
      </w:pPr>
    </w:p>
    <w:p>
      <w:pPr>
        <w:spacing w:after="0"/>
        <w:rPr>
          <w:sz w:val="20"/>
          <w:szCs w:val="20"/>
          <w:color w:val="auto"/>
        </w:rPr>
      </w:pPr>
      <w:r>
        <w:rPr>
          <w:rFonts w:ascii="Arial" w:cs="Arial" w:eastAsia="Arial" w:hAnsi="Arial"/>
          <w:sz w:val="19"/>
          <w:szCs w:val="19"/>
          <w:color w:val="auto"/>
        </w:rPr>
        <w:t>The following table summarizes stock award transactions for the nine months ended September 30, 2018:</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6060" w:type="dxa"/>
            <w:vAlign w:val="bottom"/>
          </w:tcPr>
          <w:p>
            <w:pPr>
              <w:spacing w:after="0"/>
              <w:rPr>
                <w:sz w:val="21"/>
                <w:szCs w:val="21"/>
                <w:color w:val="auto"/>
              </w:rPr>
            </w:pPr>
          </w:p>
        </w:tc>
        <w:tc>
          <w:tcPr>
            <w:tcW w:w="1540" w:type="dxa"/>
            <w:vAlign w:val="bottom"/>
          </w:tcPr>
          <w:p>
            <w:pPr>
              <w:jc w:val="center"/>
              <w:spacing w:after="0"/>
              <w:rPr>
                <w:sz w:val="20"/>
                <w:szCs w:val="20"/>
                <w:color w:val="auto"/>
              </w:rPr>
            </w:pPr>
            <w:r>
              <w:rPr>
                <w:rFonts w:ascii="Arial" w:cs="Arial" w:eastAsia="Arial" w:hAnsi="Arial"/>
                <w:sz w:val="22"/>
                <w:szCs w:val="22"/>
                <w:color w:val="auto"/>
                <w:w w:val="89"/>
              </w:rPr>
              <w:t>Number</w:t>
            </w:r>
          </w:p>
        </w:tc>
        <w:tc>
          <w:tcPr>
            <w:tcW w:w="2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80" w:type="dxa"/>
            <w:vAlign w:val="bottom"/>
          </w:tcPr>
          <w:p>
            <w:pPr>
              <w:jc w:val="center"/>
              <w:ind w:right="212"/>
              <w:spacing w:after="0"/>
              <w:rPr>
                <w:sz w:val="20"/>
                <w:szCs w:val="20"/>
                <w:color w:val="auto"/>
              </w:rPr>
            </w:pPr>
            <w:r>
              <w:rPr>
                <w:rFonts w:ascii="Arial" w:cs="Arial" w:eastAsia="Arial" w:hAnsi="Arial"/>
                <w:sz w:val="22"/>
                <w:szCs w:val="22"/>
                <w:color w:val="auto"/>
                <w:w w:val="88"/>
              </w:rPr>
              <w:t>Weighted</w:t>
            </w:r>
          </w:p>
        </w:tc>
      </w:tr>
      <w:tr>
        <w:trPr>
          <w:trHeight w:val="243"/>
        </w:trPr>
        <w:tc>
          <w:tcPr>
            <w:tcW w:w="6060" w:type="dxa"/>
            <w:vAlign w:val="bottom"/>
          </w:tcPr>
          <w:p>
            <w:pPr>
              <w:spacing w:after="0"/>
              <w:rPr>
                <w:sz w:val="21"/>
                <w:szCs w:val="21"/>
                <w:color w:val="auto"/>
              </w:rPr>
            </w:pPr>
          </w:p>
        </w:tc>
        <w:tc>
          <w:tcPr>
            <w:tcW w:w="1540" w:type="dxa"/>
            <w:vAlign w:val="bottom"/>
          </w:tcPr>
          <w:p>
            <w:pPr>
              <w:jc w:val="center"/>
              <w:spacing w:after="0" w:line="243" w:lineRule="exact"/>
              <w:rPr>
                <w:sz w:val="20"/>
                <w:szCs w:val="20"/>
                <w:color w:val="auto"/>
              </w:rPr>
            </w:pPr>
            <w:r>
              <w:rPr>
                <w:rFonts w:ascii="Arial" w:cs="Arial" w:eastAsia="Arial" w:hAnsi="Arial"/>
                <w:sz w:val="22"/>
                <w:szCs w:val="22"/>
                <w:color w:val="auto"/>
                <w:w w:val="97"/>
              </w:rPr>
              <w:t>of</w:t>
            </w:r>
          </w:p>
        </w:tc>
        <w:tc>
          <w:tcPr>
            <w:tcW w:w="2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80" w:type="dxa"/>
            <w:vAlign w:val="bottom"/>
          </w:tcPr>
          <w:p>
            <w:pPr>
              <w:jc w:val="center"/>
              <w:ind w:right="192"/>
              <w:spacing w:after="0" w:line="243" w:lineRule="exact"/>
              <w:rPr>
                <w:sz w:val="20"/>
                <w:szCs w:val="20"/>
                <w:color w:val="auto"/>
              </w:rPr>
            </w:pPr>
            <w:r>
              <w:rPr>
                <w:rFonts w:ascii="Arial" w:cs="Arial" w:eastAsia="Arial" w:hAnsi="Arial"/>
                <w:sz w:val="22"/>
                <w:szCs w:val="22"/>
                <w:color w:val="auto"/>
                <w:w w:val="87"/>
              </w:rPr>
              <w:t>Average</w:t>
            </w:r>
          </w:p>
        </w:tc>
      </w:tr>
      <w:tr>
        <w:trPr>
          <w:trHeight w:val="265"/>
        </w:trPr>
        <w:tc>
          <w:tcPr>
            <w:tcW w:w="6060" w:type="dxa"/>
            <w:vAlign w:val="bottom"/>
            <w:tcBorders>
              <w:bottom w:val="single" w:sz="8" w:color="CCEEFF"/>
            </w:tcBorders>
          </w:tcPr>
          <w:p>
            <w:pPr>
              <w:spacing w:after="0"/>
              <w:rPr>
                <w:sz w:val="23"/>
                <w:szCs w:val="23"/>
                <w:color w:val="auto"/>
              </w:rPr>
            </w:pPr>
          </w:p>
        </w:tc>
        <w:tc>
          <w:tcPr>
            <w:tcW w:w="1540" w:type="dxa"/>
            <w:vAlign w:val="bottom"/>
            <w:tcBorders>
              <w:bottom w:val="single" w:sz="8" w:color="auto"/>
            </w:tcBorders>
          </w:tcPr>
          <w:p>
            <w:pPr>
              <w:jc w:val="center"/>
              <w:spacing w:after="0"/>
              <w:rPr>
                <w:sz w:val="20"/>
                <w:szCs w:val="20"/>
                <w:color w:val="auto"/>
              </w:rPr>
            </w:pPr>
            <w:r>
              <w:rPr>
                <w:rFonts w:ascii="Arial" w:cs="Arial" w:eastAsia="Arial" w:hAnsi="Arial"/>
                <w:sz w:val="22"/>
                <w:szCs w:val="22"/>
                <w:color w:val="auto"/>
                <w:w w:val="89"/>
              </w:rPr>
              <w:t>Stock Awards</w:t>
            </w:r>
          </w:p>
        </w:tc>
        <w:tc>
          <w:tcPr>
            <w:tcW w:w="240" w:type="dxa"/>
            <w:vAlign w:val="bottom"/>
            <w:tcBorders>
              <w:bottom w:val="single" w:sz="8" w:color="CCEEFF"/>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380" w:type="dxa"/>
            <w:vAlign w:val="bottom"/>
            <w:tcBorders>
              <w:bottom w:val="single" w:sz="8" w:color="auto"/>
            </w:tcBorders>
          </w:tcPr>
          <w:p>
            <w:pPr>
              <w:jc w:val="center"/>
              <w:ind w:right="192"/>
              <w:spacing w:after="0"/>
              <w:rPr>
                <w:sz w:val="20"/>
                <w:szCs w:val="20"/>
                <w:color w:val="auto"/>
              </w:rPr>
            </w:pPr>
            <w:r>
              <w:rPr>
                <w:rFonts w:ascii="Arial" w:cs="Arial" w:eastAsia="Arial" w:hAnsi="Arial"/>
                <w:sz w:val="22"/>
                <w:szCs w:val="22"/>
                <w:color w:val="auto"/>
                <w:w w:val="87"/>
              </w:rPr>
              <w:t>Fair Value</w:t>
            </w:r>
          </w:p>
        </w:tc>
      </w:tr>
      <w:tr>
        <w:trPr>
          <w:trHeight w:val="237"/>
        </w:trPr>
        <w:tc>
          <w:tcPr>
            <w:tcW w:w="6060" w:type="dxa"/>
            <w:vAlign w:val="bottom"/>
            <w:shd w:val="clear" w:color="auto" w:fill="CCEEFF"/>
          </w:tcPr>
          <w:p>
            <w:pPr>
              <w:spacing w:after="0" w:line="237" w:lineRule="exact"/>
              <w:rPr>
                <w:sz w:val="20"/>
                <w:szCs w:val="20"/>
                <w:color w:val="auto"/>
              </w:rPr>
            </w:pPr>
            <w:r>
              <w:rPr>
                <w:rFonts w:ascii="Arial" w:cs="Arial" w:eastAsia="Arial" w:hAnsi="Arial"/>
                <w:sz w:val="22"/>
                <w:szCs w:val="22"/>
                <w:color w:val="auto"/>
              </w:rPr>
              <w:t>Nonvested stock awards at beginning of period</w:t>
            </w:r>
          </w:p>
        </w:tc>
        <w:tc>
          <w:tcPr>
            <w:tcW w:w="1540" w:type="dxa"/>
            <w:vAlign w:val="bottom"/>
            <w:shd w:val="clear" w:color="auto" w:fill="CCEEFF"/>
          </w:tcPr>
          <w:p>
            <w:pPr>
              <w:jc w:val="right"/>
              <w:spacing w:after="0" w:line="237" w:lineRule="exact"/>
              <w:rPr>
                <w:sz w:val="20"/>
                <w:szCs w:val="20"/>
                <w:color w:val="auto"/>
              </w:rPr>
            </w:pPr>
            <w:r>
              <w:rPr>
                <w:rFonts w:ascii="Arial" w:cs="Arial" w:eastAsia="Arial" w:hAnsi="Arial"/>
                <w:sz w:val="22"/>
                <w:szCs w:val="22"/>
                <w:color w:val="auto"/>
              </w:rPr>
              <w:t>-</w:t>
            </w:r>
          </w:p>
        </w:tc>
        <w:tc>
          <w:tcPr>
            <w:tcW w:w="240" w:type="dxa"/>
            <w:vAlign w:val="bottom"/>
            <w:shd w:val="clear" w:color="auto" w:fill="CCEEFF"/>
          </w:tcPr>
          <w:p>
            <w:pPr>
              <w:spacing w:after="0"/>
              <w:rPr>
                <w:sz w:val="20"/>
                <w:szCs w:val="20"/>
                <w:color w:val="auto"/>
              </w:rPr>
            </w:pPr>
          </w:p>
        </w:tc>
        <w:tc>
          <w:tcPr>
            <w:tcW w:w="320" w:type="dxa"/>
            <w:vAlign w:val="bottom"/>
            <w:shd w:val="clear" w:color="auto" w:fill="CCEEFF"/>
          </w:tcPr>
          <w:p>
            <w:pPr>
              <w:jc w:val="right"/>
              <w:spacing w:after="0" w:line="237" w:lineRule="exact"/>
              <w:rPr>
                <w:sz w:val="20"/>
                <w:szCs w:val="20"/>
                <w:color w:val="auto"/>
              </w:rPr>
            </w:pPr>
            <w:r>
              <w:rPr>
                <w:rFonts w:ascii="Arial" w:cs="Arial" w:eastAsia="Arial" w:hAnsi="Arial"/>
                <w:sz w:val="22"/>
                <w:szCs w:val="22"/>
                <w:color w:val="auto"/>
              </w:rPr>
              <w:t>$</w:t>
            </w:r>
          </w:p>
        </w:tc>
        <w:tc>
          <w:tcPr>
            <w:tcW w:w="1380" w:type="dxa"/>
            <w:vAlign w:val="bottom"/>
            <w:shd w:val="clear" w:color="auto" w:fill="CCEEFF"/>
          </w:tcPr>
          <w:p>
            <w:pPr>
              <w:jc w:val="right"/>
              <w:spacing w:after="0" w:line="237" w:lineRule="exact"/>
              <w:rPr>
                <w:sz w:val="20"/>
                <w:szCs w:val="20"/>
                <w:color w:val="auto"/>
              </w:rPr>
            </w:pPr>
            <w:r>
              <w:rPr>
                <w:rFonts w:ascii="Arial" w:cs="Arial" w:eastAsia="Arial" w:hAnsi="Arial"/>
                <w:sz w:val="22"/>
                <w:szCs w:val="22"/>
                <w:color w:val="auto"/>
              </w:rPr>
              <w:t>-</w:t>
            </w:r>
          </w:p>
        </w:tc>
      </w:tr>
      <w:tr>
        <w:trPr>
          <w:trHeight w:val="243"/>
        </w:trPr>
        <w:tc>
          <w:tcPr>
            <w:tcW w:w="6060" w:type="dxa"/>
            <w:vAlign w:val="bottom"/>
          </w:tcPr>
          <w:p>
            <w:pPr>
              <w:ind w:left="100"/>
              <w:spacing w:after="0" w:line="243" w:lineRule="exact"/>
              <w:rPr>
                <w:sz w:val="20"/>
                <w:szCs w:val="20"/>
                <w:color w:val="auto"/>
              </w:rPr>
            </w:pPr>
            <w:r>
              <w:rPr>
                <w:rFonts w:ascii="Arial" w:cs="Arial" w:eastAsia="Arial" w:hAnsi="Arial"/>
                <w:sz w:val="22"/>
                <w:szCs w:val="22"/>
                <w:color w:val="auto"/>
              </w:rPr>
              <w:t>Granted</w:t>
            </w:r>
          </w:p>
        </w:tc>
        <w:tc>
          <w:tcPr>
            <w:tcW w:w="1540" w:type="dxa"/>
            <w:vAlign w:val="bottom"/>
          </w:tcPr>
          <w:p>
            <w:pPr>
              <w:jc w:val="right"/>
              <w:spacing w:after="0" w:line="243" w:lineRule="exact"/>
              <w:rPr>
                <w:sz w:val="20"/>
                <w:szCs w:val="20"/>
                <w:color w:val="auto"/>
              </w:rPr>
            </w:pPr>
            <w:r>
              <w:rPr>
                <w:rFonts w:ascii="Arial" w:cs="Arial" w:eastAsia="Arial" w:hAnsi="Arial"/>
                <w:sz w:val="22"/>
                <w:szCs w:val="22"/>
                <w:color w:val="auto"/>
              </w:rPr>
              <w:t>12,451</w:t>
            </w:r>
          </w:p>
        </w:tc>
        <w:tc>
          <w:tcPr>
            <w:tcW w:w="2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80" w:type="dxa"/>
            <w:vAlign w:val="bottom"/>
          </w:tcPr>
          <w:p>
            <w:pPr>
              <w:jc w:val="right"/>
              <w:spacing w:after="0" w:line="243" w:lineRule="exact"/>
              <w:rPr>
                <w:sz w:val="20"/>
                <w:szCs w:val="20"/>
                <w:color w:val="auto"/>
              </w:rPr>
            </w:pPr>
            <w:r>
              <w:rPr>
                <w:rFonts w:ascii="Arial" w:cs="Arial" w:eastAsia="Arial" w:hAnsi="Arial"/>
                <w:sz w:val="22"/>
                <w:szCs w:val="22"/>
                <w:color w:val="auto"/>
              </w:rPr>
              <w:t>35.34</w:t>
            </w:r>
          </w:p>
        </w:tc>
      </w:tr>
      <w:tr>
        <w:trPr>
          <w:trHeight w:val="243"/>
        </w:trPr>
        <w:tc>
          <w:tcPr>
            <w:tcW w:w="6060" w:type="dxa"/>
            <w:vAlign w:val="bottom"/>
            <w:shd w:val="clear" w:color="auto" w:fill="CCEEFF"/>
          </w:tcPr>
          <w:p>
            <w:pPr>
              <w:ind w:left="100"/>
              <w:spacing w:after="0" w:line="243" w:lineRule="exact"/>
              <w:rPr>
                <w:sz w:val="20"/>
                <w:szCs w:val="20"/>
                <w:color w:val="auto"/>
              </w:rPr>
            </w:pPr>
            <w:r>
              <w:rPr>
                <w:rFonts w:ascii="Arial" w:cs="Arial" w:eastAsia="Arial" w:hAnsi="Arial"/>
                <w:sz w:val="22"/>
                <w:szCs w:val="22"/>
                <w:color w:val="auto"/>
              </w:rPr>
              <w:t>Vested</w:t>
            </w:r>
          </w:p>
        </w:tc>
        <w:tc>
          <w:tcPr>
            <w:tcW w:w="1540" w:type="dxa"/>
            <w:vAlign w:val="bottom"/>
            <w:tcBorders>
              <w:bottom w:val="single" w:sz="8" w:color="auto"/>
            </w:tcBorders>
            <w:shd w:val="clear" w:color="auto" w:fill="CCEEFF"/>
          </w:tcPr>
          <w:p>
            <w:pPr>
              <w:jc w:val="right"/>
              <w:spacing w:after="0" w:line="243" w:lineRule="exact"/>
              <w:rPr>
                <w:sz w:val="20"/>
                <w:szCs w:val="20"/>
                <w:color w:val="auto"/>
              </w:rPr>
            </w:pPr>
            <w:r>
              <w:rPr>
                <w:rFonts w:ascii="Arial" w:cs="Arial" w:eastAsia="Arial" w:hAnsi="Arial"/>
                <w:sz w:val="22"/>
                <w:szCs w:val="22"/>
                <w:color w:val="auto"/>
              </w:rPr>
              <w:t>(12,451)</w:t>
            </w:r>
          </w:p>
        </w:tc>
        <w:tc>
          <w:tcPr>
            <w:tcW w:w="24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380" w:type="dxa"/>
            <w:vAlign w:val="bottom"/>
            <w:shd w:val="clear" w:color="auto" w:fill="CCEEFF"/>
          </w:tcPr>
          <w:p>
            <w:pPr>
              <w:jc w:val="right"/>
              <w:spacing w:after="0" w:line="243" w:lineRule="exact"/>
              <w:rPr>
                <w:sz w:val="20"/>
                <w:szCs w:val="20"/>
                <w:color w:val="auto"/>
              </w:rPr>
            </w:pPr>
            <w:r>
              <w:rPr>
                <w:rFonts w:ascii="Arial" w:cs="Arial" w:eastAsia="Arial" w:hAnsi="Arial"/>
                <w:sz w:val="22"/>
                <w:szCs w:val="22"/>
                <w:color w:val="auto"/>
              </w:rPr>
              <w:t>35.34</w:t>
            </w:r>
          </w:p>
        </w:tc>
      </w:tr>
      <w:tr>
        <w:trPr>
          <w:trHeight w:val="244"/>
        </w:trPr>
        <w:tc>
          <w:tcPr>
            <w:tcW w:w="6060" w:type="dxa"/>
            <w:vAlign w:val="bottom"/>
          </w:tcPr>
          <w:p>
            <w:pPr>
              <w:spacing w:after="0" w:line="237" w:lineRule="exact"/>
              <w:rPr>
                <w:sz w:val="20"/>
                <w:szCs w:val="20"/>
                <w:color w:val="auto"/>
              </w:rPr>
            </w:pPr>
            <w:r>
              <w:rPr>
                <w:rFonts w:ascii="Arial" w:cs="Arial" w:eastAsia="Arial" w:hAnsi="Arial"/>
                <w:sz w:val="22"/>
                <w:szCs w:val="22"/>
                <w:color w:val="auto"/>
              </w:rPr>
              <w:t>Nonvested stock awards at end of period</w:t>
            </w:r>
          </w:p>
        </w:tc>
        <w:tc>
          <w:tcPr>
            <w:tcW w:w="1540" w:type="dxa"/>
            <w:vAlign w:val="bottom"/>
            <w:tcBorders>
              <w:bottom w:val="single" w:sz="8" w:color="auto"/>
            </w:tcBorders>
          </w:tcPr>
          <w:p>
            <w:pPr>
              <w:jc w:val="right"/>
              <w:spacing w:after="0" w:line="237" w:lineRule="exact"/>
              <w:rPr>
                <w:sz w:val="20"/>
                <w:szCs w:val="20"/>
                <w:color w:val="auto"/>
              </w:rPr>
            </w:pPr>
            <w:r>
              <w:rPr>
                <w:rFonts w:ascii="Arial" w:cs="Arial" w:eastAsia="Arial" w:hAnsi="Arial"/>
                <w:sz w:val="22"/>
                <w:szCs w:val="22"/>
                <w:color w:val="auto"/>
              </w:rPr>
              <w:t>-</w:t>
            </w:r>
          </w:p>
        </w:tc>
        <w:tc>
          <w:tcPr>
            <w:tcW w:w="2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80" w:type="dxa"/>
            <w:vAlign w:val="bottom"/>
          </w:tcPr>
          <w:p>
            <w:pPr>
              <w:jc w:val="right"/>
              <w:spacing w:after="0" w:line="237" w:lineRule="exact"/>
              <w:rPr>
                <w:sz w:val="20"/>
                <w:szCs w:val="20"/>
                <w:color w:val="auto"/>
              </w:rPr>
            </w:pPr>
            <w:r>
              <w:rPr>
                <w:rFonts w:ascii="Arial" w:cs="Arial" w:eastAsia="Arial" w:hAnsi="Arial"/>
                <w:sz w:val="22"/>
                <w:szCs w:val="22"/>
                <w:color w:val="auto"/>
              </w:rPr>
              <w:t>-</w:t>
            </w:r>
          </w:p>
        </w:tc>
      </w:tr>
    </w:tbl>
    <w:p>
      <w:pPr>
        <w:spacing w:after="0" w:line="222" w:lineRule="exact"/>
        <w:rPr>
          <w:sz w:val="20"/>
          <w:szCs w:val="20"/>
          <w:color w:val="auto"/>
        </w:rPr>
      </w:pPr>
    </w:p>
    <w:p>
      <w:pPr>
        <w:ind w:right="100"/>
        <w:spacing w:after="0" w:line="251" w:lineRule="auto"/>
        <w:rPr>
          <w:sz w:val="20"/>
          <w:szCs w:val="20"/>
          <w:color w:val="auto"/>
        </w:rPr>
      </w:pPr>
      <w:r>
        <w:rPr>
          <w:rFonts w:ascii="Arial" w:cs="Arial" w:eastAsia="Arial" w:hAnsi="Arial"/>
          <w:sz w:val="22"/>
          <w:szCs w:val="22"/>
          <w:color w:val="auto"/>
        </w:rPr>
        <w:t>The per unit weighted-average fair value at the date of grant for stock awards granted during the nine months ended September 30, 2018 and 2017 was $35.34 and $32.92, respectively.</w:t>
      </w: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63500</wp:posOffset>
            </wp:positionV>
            <wp:extent cx="6114415" cy="514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114415" cy="51435"/>
                    </a:xfrm>
                    <a:prstGeom prst="rect">
                      <a:avLst/>
                    </a:prstGeom>
                    <a:noFill/>
                  </pic:spPr>
                </pic:pic>
              </a:graphicData>
            </a:graphic>
          </wp:anchor>
        </w:drawing>
      </w:r>
    </w:p>
    <w:p>
      <w:pPr>
        <w:sectPr>
          <w:pgSz w:w="11900" w:h="16838" w:orient="portrait"/>
          <w:cols w:equalWidth="0" w:num="1">
            <w:col w:w="9540"/>
          </w:cols>
          <w:pgMar w:left="1220" w:top="118" w:right="1139" w:bottom="1440" w:gutter="0" w:footer="0" w:header="0"/>
        </w:sectPr>
      </w:pPr>
    </w:p>
    <w:bookmarkStart w:id="23" w:name="page24"/>
    <w:bookmarkEnd w:id="23"/>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AQUA AMERICA, INC. AND SUBSIDIARIES NOTES TO CONSOLIDATED FINANCIAL STATEMENTS (continued) (In thousands of dollars, except per share amounts) (UNAUDITED)</w:t>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Note 10 – </w:t>
      </w:r>
      <w:r>
        <w:rPr>
          <w:rFonts w:ascii="Arial" w:cs="Arial" w:eastAsia="Arial" w:hAnsi="Arial"/>
          <w:sz w:val="22"/>
          <w:szCs w:val="22"/>
          <w:b w:val="1"/>
          <w:bCs w:val="1"/>
          <w:i w:val="1"/>
          <w:iCs w:val="1"/>
          <w:color w:val="auto"/>
        </w:rPr>
        <w:t>Pension Plans and Other Postretirement Benefits</w:t>
      </w:r>
    </w:p>
    <w:p>
      <w:pPr>
        <w:spacing w:after="0" w:line="239" w:lineRule="exact"/>
        <w:rPr>
          <w:sz w:val="20"/>
          <w:szCs w:val="20"/>
          <w:color w:val="auto"/>
        </w:rPr>
      </w:pPr>
    </w:p>
    <w:p>
      <w:pPr>
        <w:spacing w:after="0" w:line="282" w:lineRule="auto"/>
        <w:rPr>
          <w:sz w:val="20"/>
          <w:szCs w:val="20"/>
          <w:color w:val="auto"/>
        </w:rPr>
      </w:pPr>
      <w:r>
        <w:rPr>
          <w:rFonts w:ascii="Arial" w:cs="Arial" w:eastAsia="Arial" w:hAnsi="Arial"/>
          <w:sz w:val="19"/>
          <w:szCs w:val="19"/>
          <w:color w:val="auto"/>
        </w:rPr>
        <w:t>The Company maintains a qualified defined benefit pension plan (the “Pension Plan”), a nonqualified pension plan, and other postretirement benefit plans for certain of its employees. The net periodic benefit cost is based on estimated values and an extensive use of assumptions about the discount rate, expected return on plan assets, the rate of future compensation increases received by the Company’s employees, mortality, turnover, and medical costs. The following tables provide the components of net periodic benefit cost:</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265"/>
        </w:trPr>
        <w:tc>
          <w:tcPr>
            <w:tcW w:w="378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2660" w:type="dxa"/>
            <w:vAlign w:val="bottom"/>
            <w:tcBorders>
              <w:bottom w:val="single" w:sz="8" w:color="auto"/>
            </w:tcBorders>
            <w:gridSpan w:val="6"/>
          </w:tcPr>
          <w:p>
            <w:pPr>
              <w:jc w:val="center"/>
              <w:ind w:right="360"/>
              <w:spacing w:after="0"/>
              <w:rPr>
                <w:sz w:val="20"/>
                <w:szCs w:val="20"/>
                <w:color w:val="auto"/>
              </w:rPr>
            </w:pPr>
            <w:r>
              <w:rPr>
                <w:rFonts w:ascii="Arial" w:cs="Arial" w:eastAsia="Arial" w:hAnsi="Arial"/>
                <w:sz w:val="22"/>
                <w:szCs w:val="22"/>
                <w:color w:val="auto"/>
                <w:w w:val="88"/>
              </w:rPr>
              <w:t>Pension Benefits</w:t>
            </w:r>
          </w:p>
        </w:tc>
        <w:tc>
          <w:tcPr>
            <w:tcW w:w="34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spacing w:after="0"/>
              <w:rPr>
                <w:sz w:val="23"/>
                <w:szCs w:val="23"/>
                <w:color w:val="auto"/>
              </w:rPr>
            </w:pPr>
          </w:p>
        </w:tc>
      </w:tr>
      <w:tr>
        <w:trPr>
          <w:trHeight w:val="215"/>
        </w:trPr>
        <w:tc>
          <w:tcPr>
            <w:tcW w:w="3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320" w:type="dxa"/>
            <w:vAlign w:val="bottom"/>
            <w:gridSpan w:val="5"/>
          </w:tcPr>
          <w:p>
            <w:pPr>
              <w:jc w:val="right"/>
              <w:ind w:right="420"/>
              <w:spacing w:after="0" w:line="216" w:lineRule="exact"/>
              <w:rPr>
                <w:sz w:val="20"/>
                <w:szCs w:val="20"/>
                <w:color w:val="auto"/>
              </w:rPr>
            </w:pPr>
            <w:r>
              <w:rPr>
                <w:rFonts w:ascii="Arial" w:cs="Arial" w:eastAsia="Arial" w:hAnsi="Arial"/>
                <w:sz w:val="22"/>
                <w:szCs w:val="22"/>
                <w:color w:val="auto"/>
                <w:w w:val="91"/>
              </w:rPr>
              <w:t>Three Months Ended</w:t>
            </w: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540" w:type="dxa"/>
            <w:vAlign w:val="bottom"/>
            <w:gridSpan w:val="4"/>
          </w:tcPr>
          <w:p>
            <w:pPr>
              <w:jc w:val="right"/>
              <w:ind w:right="472"/>
              <w:spacing w:after="0" w:line="216" w:lineRule="exact"/>
              <w:rPr>
                <w:sz w:val="20"/>
                <w:szCs w:val="20"/>
                <w:color w:val="auto"/>
              </w:rPr>
            </w:pPr>
            <w:r>
              <w:rPr>
                <w:rFonts w:ascii="Arial" w:cs="Arial" w:eastAsia="Arial" w:hAnsi="Arial"/>
                <w:sz w:val="22"/>
                <w:szCs w:val="22"/>
                <w:color w:val="auto"/>
              </w:rPr>
              <w:t>Nine Months Ended</w:t>
            </w:r>
          </w:p>
        </w:tc>
      </w:tr>
      <w:tr>
        <w:trPr>
          <w:trHeight w:val="265"/>
        </w:trPr>
        <w:tc>
          <w:tcPr>
            <w:tcW w:w="37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320" w:type="dxa"/>
            <w:vAlign w:val="bottom"/>
            <w:gridSpan w:val="5"/>
          </w:tcPr>
          <w:p>
            <w:pPr>
              <w:jc w:val="right"/>
              <w:ind w:right="700"/>
              <w:spacing w:after="0"/>
              <w:rPr>
                <w:sz w:val="20"/>
                <w:szCs w:val="20"/>
                <w:color w:val="auto"/>
              </w:rPr>
            </w:pPr>
            <w:r>
              <w:rPr>
                <w:rFonts w:ascii="Arial" w:cs="Arial" w:eastAsia="Arial" w:hAnsi="Arial"/>
                <w:sz w:val="22"/>
                <w:szCs w:val="22"/>
                <w:color w:val="auto"/>
              </w:rPr>
              <w:t>September 30,</w:t>
            </w:r>
          </w:p>
        </w:tc>
        <w:tc>
          <w:tcPr>
            <w:tcW w:w="2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2540" w:type="dxa"/>
            <w:vAlign w:val="bottom"/>
            <w:gridSpan w:val="4"/>
          </w:tcPr>
          <w:p>
            <w:pPr>
              <w:jc w:val="right"/>
              <w:ind w:right="732"/>
              <w:spacing w:after="0"/>
              <w:rPr>
                <w:sz w:val="20"/>
                <w:szCs w:val="20"/>
                <w:color w:val="auto"/>
              </w:rPr>
            </w:pPr>
            <w:r>
              <w:rPr>
                <w:rFonts w:ascii="Arial" w:cs="Arial" w:eastAsia="Arial" w:hAnsi="Arial"/>
                <w:sz w:val="22"/>
                <w:szCs w:val="22"/>
                <w:color w:val="auto"/>
              </w:rPr>
              <w:t>September 30,</w:t>
            </w:r>
          </w:p>
        </w:tc>
      </w:tr>
      <w:tr>
        <w:trPr>
          <w:trHeight w:val="264"/>
        </w:trPr>
        <w:tc>
          <w:tcPr>
            <w:tcW w:w="3780" w:type="dxa"/>
            <w:vAlign w:val="bottom"/>
            <w:tcBorders>
              <w:bottom w:val="single" w:sz="8" w:color="CCEEFF"/>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980" w:type="dxa"/>
            <w:vAlign w:val="bottom"/>
            <w:tcBorders>
              <w:top w:val="single" w:sz="8" w:color="auto"/>
              <w:bottom w:val="single" w:sz="8" w:color="auto"/>
            </w:tcBorders>
          </w:tcPr>
          <w:p>
            <w:pPr>
              <w:jc w:val="right"/>
              <w:ind w:right="312"/>
              <w:spacing w:after="0"/>
              <w:rPr>
                <w:sz w:val="20"/>
                <w:szCs w:val="20"/>
                <w:color w:val="auto"/>
              </w:rPr>
            </w:pPr>
            <w:r>
              <w:rPr>
                <w:rFonts w:ascii="Arial" w:cs="Arial" w:eastAsia="Arial" w:hAnsi="Arial"/>
                <w:sz w:val="22"/>
                <w:szCs w:val="22"/>
                <w:color w:val="auto"/>
              </w:rPr>
              <w:t>2018</w:t>
            </w:r>
          </w:p>
        </w:tc>
        <w:tc>
          <w:tcPr>
            <w:tcW w:w="180" w:type="dxa"/>
            <w:vAlign w:val="bottom"/>
            <w:tcBorders>
              <w:top w:val="single" w:sz="8" w:color="auto"/>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840" w:type="dxa"/>
            <w:vAlign w:val="bottom"/>
            <w:tcBorders>
              <w:top w:val="single" w:sz="8" w:color="auto"/>
              <w:bottom w:val="single" w:sz="8" w:color="auto"/>
            </w:tcBorders>
          </w:tcPr>
          <w:p>
            <w:pPr>
              <w:jc w:val="right"/>
              <w:ind w:right="232"/>
              <w:spacing w:after="0"/>
              <w:rPr>
                <w:sz w:val="20"/>
                <w:szCs w:val="20"/>
                <w:color w:val="auto"/>
              </w:rPr>
            </w:pPr>
            <w:r>
              <w:rPr>
                <w:rFonts w:ascii="Arial" w:cs="Arial" w:eastAsia="Arial" w:hAnsi="Arial"/>
                <w:sz w:val="22"/>
                <w:szCs w:val="22"/>
                <w:color w:val="auto"/>
                <w:w w:val="98"/>
              </w:rPr>
              <w:t>2017</w:t>
            </w:r>
          </w:p>
        </w:tc>
        <w:tc>
          <w:tcPr>
            <w:tcW w:w="40" w:type="dxa"/>
            <w:vAlign w:val="bottom"/>
            <w:tcBorders>
              <w:bottom w:val="single" w:sz="8" w:color="CCEEFF"/>
            </w:tcBorders>
          </w:tcPr>
          <w:p>
            <w:pPr>
              <w:spacing w:after="0"/>
              <w:rPr>
                <w:sz w:val="22"/>
                <w:szCs w:val="22"/>
                <w:color w:val="auto"/>
              </w:rPr>
            </w:pPr>
          </w:p>
        </w:tc>
        <w:tc>
          <w:tcPr>
            <w:tcW w:w="220" w:type="dxa"/>
            <w:vAlign w:val="bottom"/>
            <w:tcBorders>
              <w:bottom w:val="single" w:sz="8" w:color="CCEEFF"/>
            </w:tcBorders>
          </w:tcPr>
          <w:p>
            <w:pPr>
              <w:spacing w:after="0"/>
              <w:rPr>
                <w:sz w:val="22"/>
                <w:szCs w:val="22"/>
                <w:color w:val="auto"/>
              </w:rPr>
            </w:pPr>
          </w:p>
        </w:tc>
        <w:tc>
          <w:tcPr>
            <w:tcW w:w="380" w:type="dxa"/>
            <w:vAlign w:val="bottom"/>
            <w:tcBorders>
              <w:top w:val="single" w:sz="8" w:color="auto"/>
              <w:bottom w:val="single" w:sz="8" w:color="auto"/>
            </w:tcBorders>
          </w:tcPr>
          <w:p>
            <w:pPr>
              <w:spacing w:after="0"/>
              <w:rPr>
                <w:sz w:val="22"/>
                <w:szCs w:val="22"/>
                <w:color w:val="auto"/>
              </w:rPr>
            </w:pPr>
          </w:p>
        </w:tc>
        <w:tc>
          <w:tcPr>
            <w:tcW w:w="1000" w:type="dxa"/>
            <w:vAlign w:val="bottom"/>
            <w:tcBorders>
              <w:top w:val="single" w:sz="8" w:color="auto"/>
              <w:bottom w:val="single" w:sz="8" w:color="auto"/>
            </w:tcBorders>
          </w:tcPr>
          <w:p>
            <w:pPr>
              <w:jc w:val="right"/>
              <w:ind w:right="372"/>
              <w:spacing w:after="0"/>
              <w:rPr>
                <w:sz w:val="20"/>
                <w:szCs w:val="20"/>
                <w:color w:val="auto"/>
              </w:rPr>
            </w:pPr>
            <w:r>
              <w:rPr>
                <w:rFonts w:ascii="Arial" w:cs="Arial" w:eastAsia="Arial" w:hAnsi="Arial"/>
                <w:sz w:val="22"/>
                <w:szCs w:val="22"/>
                <w:color w:val="auto"/>
              </w:rPr>
              <w:t>2018</w:t>
            </w:r>
          </w:p>
        </w:tc>
        <w:tc>
          <w:tcPr>
            <w:tcW w:w="180" w:type="dxa"/>
            <w:vAlign w:val="bottom"/>
            <w:tcBorders>
              <w:top w:val="single" w:sz="8" w:color="auto"/>
              <w:bottom w:val="single" w:sz="8" w:color="CCEEFF"/>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020" w:type="dxa"/>
            <w:vAlign w:val="bottom"/>
            <w:tcBorders>
              <w:top w:val="single" w:sz="8" w:color="auto"/>
              <w:bottom w:val="single" w:sz="8" w:color="auto"/>
            </w:tcBorders>
          </w:tcPr>
          <w:p>
            <w:pPr>
              <w:jc w:val="right"/>
              <w:ind w:right="352"/>
              <w:spacing w:after="0"/>
              <w:rPr>
                <w:sz w:val="20"/>
                <w:szCs w:val="20"/>
                <w:color w:val="auto"/>
              </w:rPr>
            </w:pPr>
            <w:r>
              <w:rPr>
                <w:rFonts w:ascii="Arial" w:cs="Arial" w:eastAsia="Arial" w:hAnsi="Arial"/>
                <w:sz w:val="22"/>
                <w:szCs w:val="22"/>
                <w:color w:val="auto"/>
              </w:rPr>
              <w:t>2017</w:t>
            </w:r>
          </w:p>
        </w:tc>
      </w:tr>
      <w:tr>
        <w:trPr>
          <w:trHeight w:val="264"/>
        </w:trPr>
        <w:tc>
          <w:tcPr>
            <w:tcW w:w="3780" w:type="dxa"/>
            <w:vAlign w:val="bottom"/>
            <w:shd w:val="clear" w:color="auto" w:fill="CCEEFF"/>
          </w:tcPr>
          <w:p>
            <w:pPr>
              <w:spacing w:after="0"/>
              <w:rPr>
                <w:sz w:val="20"/>
                <w:szCs w:val="20"/>
                <w:color w:val="auto"/>
              </w:rPr>
            </w:pPr>
            <w:r>
              <w:rPr>
                <w:rFonts w:ascii="Arial" w:cs="Arial" w:eastAsia="Arial" w:hAnsi="Arial"/>
                <w:sz w:val="22"/>
                <w:szCs w:val="22"/>
                <w:color w:val="auto"/>
              </w:rPr>
              <w:t>Service cost</w:t>
            </w:r>
          </w:p>
        </w:tc>
        <w:tc>
          <w:tcPr>
            <w:tcW w:w="300" w:type="dxa"/>
            <w:vAlign w:val="bottom"/>
            <w:shd w:val="clear" w:color="auto" w:fill="CCEEFF"/>
          </w:tcPr>
          <w:p>
            <w:pPr>
              <w:jc w:val="right"/>
              <w:spacing w:after="0"/>
              <w:rPr>
                <w:sz w:val="20"/>
                <w:szCs w:val="20"/>
                <w:color w:val="auto"/>
              </w:rPr>
            </w:pPr>
            <w:r>
              <w:rPr>
                <w:rFonts w:ascii="Arial" w:cs="Arial" w:eastAsia="Arial" w:hAnsi="Arial"/>
                <w:sz w:val="22"/>
                <w:szCs w:val="22"/>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22"/>
                <w:szCs w:val="22"/>
                <w:color w:val="auto"/>
              </w:rPr>
              <w:t>812</w:t>
            </w:r>
          </w:p>
        </w:tc>
        <w:tc>
          <w:tcPr>
            <w:tcW w:w="180" w:type="dxa"/>
            <w:vAlign w:val="bottom"/>
            <w:shd w:val="clear" w:color="auto" w:fill="CCEEFF"/>
          </w:tcPr>
          <w:p>
            <w:pPr>
              <w:spacing w:after="0"/>
              <w:rPr>
                <w:sz w:val="22"/>
                <w:szCs w:val="22"/>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22"/>
                <w:szCs w:val="22"/>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22"/>
                <w:szCs w:val="22"/>
                <w:color w:val="auto"/>
              </w:rPr>
              <w:t>794</w:t>
            </w:r>
          </w:p>
        </w:tc>
        <w:tc>
          <w:tcPr>
            <w:tcW w:w="40" w:type="dxa"/>
            <w:vAlign w:val="bottom"/>
            <w:shd w:val="clear" w:color="auto" w:fill="CCEEFF"/>
          </w:tcPr>
          <w:p>
            <w:pPr>
              <w:spacing w:after="0"/>
              <w:rPr>
                <w:sz w:val="22"/>
                <w:szCs w:val="22"/>
                <w:color w:val="auto"/>
              </w:rPr>
            </w:pPr>
          </w:p>
        </w:tc>
        <w:tc>
          <w:tcPr>
            <w:tcW w:w="600" w:type="dxa"/>
            <w:vAlign w:val="bottom"/>
            <w:gridSpan w:val="2"/>
            <w:shd w:val="clear" w:color="auto" w:fill="CCEEFF"/>
          </w:tcPr>
          <w:p>
            <w:pPr>
              <w:jc w:val="right"/>
              <w:ind w:right="92"/>
              <w:spacing w:after="0"/>
              <w:rPr>
                <w:sz w:val="20"/>
                <w:szCs w:val="20"/>
                <w:color w:val="auto"/>
              </w:rPr>
            </w:pPr>
            <w:r>
              <w:rPr>
                <w:rFonts w:ascii="Arial" w:cs="Arial" w:eastAsia="Arial" w:hAnsi="Arial"/>
                <w:sz w:val="22"/>
                <w:szCs w:val="22"/>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22"/>
                <w:szCs w:val="22"/>
                <w:color w:val="auto"/>
              </w:rPr>
              <w:t>2,436</w:t>
            </w:r>
          </w:p>
        </w:tc>
        <w:tc>
          <w:tcPr>
            <w:tcW w:w="18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32"/>
              <w:spacing w:after="0"/>
              <w:rPr>
                <w:sz w:val="20"/>
                <w:szCs w:val="20"/>
                <w:color w:val="auto"/>
              </w:rPr>
            </w:pPr>
            <w:r>
              <w:rPr>
                <w:rFonts w:ascii="Arial" w:cs="Arial" w:eastAsia="Arial" w:hAnsi="Arial"/>
                <w:sz w:val="22"/>
                <w:szCs w:val="22"/>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22"/>
                <w:szCs w:val="22"/>
                <w:color w:val="auto"/>
              </w:rPr>
              <w:t>2,382</w:t>
            </w:r>
          </w:p>
        </w:tc>
      </w:tr>
      <w:tr>
        <w:trPr>
          <w:trHeight w:val="284"/>
        </w:trPr>
        <w:tc>
          <w:tcPr>
            <w:tcW w:w="3780" w:type="dxa"/>
            <w:vAlign w:val="bottom"/>
          </w:tcPr>
          <w:p>
            <w:pPr>
              <w:spacing w:after="0"/>
              <w:rPr>
                <w:sz w:val="20"/>
                <w:szCs w:val="20"/>
                <w:color w:val="auto"/>
              </w:rPr>
            </w:pPr>
            <w:r>
              <w:rPr>
                <w:rFonts w:ascii="Arial" w:cs="Arial" w:eastAsia="Arial" w:hAnsi="Arial"/>
                <w:sz w:val="22"/>
                <w:szCs w:val="22"/>
                <w:color w:val="auto"/>
              </w:rPr>
              <w:t>Interest cost</w:t>
            </w:r>
          </w:p>
        </w:tc>
        <w:tc>
          <w:tcPr>
            <w:tcW w:w="30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22"/>
                <w:szCs w:val="22"/>
                <w:color w:val="auto"/>
              </w:rPr>
              <w:t>2,874</w:t>
            </w: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22"/>
                <w:szCs w:val="22"/>
                <w:color w:val="auto"/>
              </w:rPr>
              <w:t>3,108</w:t>
            </w: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22"/>
                <w:szCs w:val="22"/>
                <w:color w:val="auto"/>
              </w:rPr>
              <w:t>8,622</w:t>
            </w: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22"/>
                <w:szCs w:val="22"/>
                <w:color w:val="auto"/>
              </w:rPr>
              <w:t>9,324</w:t>
            </w:r>
          </w:p>
        </w:tc>
      </w:tr>
      <w:tr>
        <w:trPr>
          <w:trHeight w:val="284"/>
        </w:trPr>
        <w:tc>
          <w:tcPr>
            <w:tcW w:w="3780" w:type="dxa"/>
            <w:vAlign w:val="bottom"/>
            <w:shd w:val="clear" w:color="auto" w:fill="CCEEFF"/>
          </w:tcPr>
          <w:p>
            <w:pPr>
              <w:spacing w:after="0"/>
              <w:rPr>
                <w:sz w:val="20"/>
                <w:szCs w:val="20"/>
                <w:color w:val="auto"/>
              </w:rPr>
            </w:pPr>
            <w:r>
              <w:rPr>
                <w:rFonts w:ascii="Arial" w:cs="Arial" w:eastAsia="Arial" w:hAnsi="Arial"/>
                <w:sz w:val="22"/>
                <w:szCs w:val="22"/>
                <w:color w:val="auto"/>
              </w:rPr>
              <w:t>Expected return on plan assets</w:t>
            </w:r>
          </w:p>
        </w:tc>
        <w:tc>
          <w:tcPr>
            <w:tcW w:w="300" w:type="dxa"/>
            <w:vAlign w:val="bottom"/>
            <w:shd w:val="clear" w:color="auto" w:fill="CCEEFF"/>
          </w:tcPr>
          <w:p>
            <w:pPr>
              <w:spacing w:after="0"/>
              <w:rPr>
                <w:sz w:val="24"/>
                <w:szCs w:val="24"/>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22"/>
                <w:szCs w:val="22"/>
                <w:color w:val="auto"/>
              </w:rPr>
              <w:t>(4,553)</w:t>
            </w:r>
          </w:p>
        </w:tc>
        <w:tc>
          <w:tcPr>
            <w:tcW w:w="280" w:type="dxa"/>
            <w:vAlign w:val="bottom"/>
            <w:shd w:val="clear" w:color="auto" w:fill="CCEEFF"/>
          </w:tcPr>
          <w:p>
            <w:pPr>
              <w:spacing w:after="0"/>
              <w:rPr>
                <w:sz w:val="24"/>
                <w:szCs w:val="24"/>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22"/>
                <w:szCs w:val="22"/>
                <w:color w:val="auto"/>
              </w:rPr>
              <w:t>(4,270)</w:t>
            </w:r>
          </w:p>
        </w:tc>
        <w:tc>
          <w:tcPr>
            <w:tcW w:w="2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22"/>
                <w:szCs w:val="22"/>
                <w:color w:val="auto"/>
              </w:rPr>
              <w:t>(13,659)</w:t>
            </w:r>
          </w:p>
        </w:tc>
        <w:tc>
          <w:tcPr>
            <w:tcW w:w="340" w:type="dxa"/>
            <w:vAlign w:val="bottom"/>
            <w:shd w:val="clear" w:color="auto" w:fill="CCEEFF"/>
          </w:tcPr>
          <w:p>
            <w:pPr>
              <w:spacing w:after="0"/>
              <w:rPr>
                <w:sz w:val="24"/>
                <w:szCs w:val="2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22"/>
                <w:szCs w:val="22"/>
                <w:color w:val="auto"/>
              </w:rPr>
              <w:t>(12,810)</w:t>
            </w:r>
          </w:p>
        </w:tc>
      </w:tr>
      <w:tr>
        <w:trPr>
          <w:trHeight w:val="284"/>
        </w:trPr>
        <w:tc>
          <w:tcPr>
            <w:tcW w:w="3780" w:type="dxa"/>
            <w:vAlign w:val="bottom"/>
          </w:tcPr>
          <w:p>
            <w:pPr>
              <w:spacing w:after="0"/>
              <w:rPr>
                <w:sz w:val="20"/>
                <w:szCs w:val="20"/>
                <w:color w:val="auto"/>
              </w:rPr>
            </w:pPr>
            <w:r>
              <w:rPr>
                <w:rFonts w:ascii="Arial" w:cs="Arial" w:eastAsia="Arial" w:hAnsi="Arial"/>
                <w:sz w:val="22"/>
                <w:szCs w:val="22"/>
                <w:color w:val="auto"/>
              </w:rPr>
              <w:t>Amortization of prior service cost</w:t>
            </w:r>
          </w:p>
        </w:tc>
        <w:tc>
          <w:tcPr>
            <w:tcW w:w="30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22"/>
                <w:szCs w:val="22"/>
                <w:color w:val="auto"/>
              </w:rPr>
              <w:t>132</w:t>
            </w: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22"/>
                <w:szCs w:val="22"/>
                <w:color w:val="auto"/>
              </w:rPr>
              <w:t>145</w:t>
            </w: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22"/>
                <w:szCs w:val="22"/>
                <w:color w:val="auto"/>
              </w:rPr>
              <w:t>396</w:t>
            </w: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22"/>
                <w:szCs w:val="22"/>
                <w:color w:val="auto"/>
              </w:rPr>
              <w:t>435</w:t>
            </w:r>
          </w:p>
        </w:tc>
      </w:tr>
      <w:tr>
        <w:trPr>
          <w:trHeight w:val="284"/>
        </w:trPr>
        <w:tc>
          <w:tcPr>
            <w:tcW w:w="3780" w:type="dxa"/>
            <w:vAlign w:val="bottom"/>
            <w:shd w:val="clear" w:color="auto" w:fill="CCEEFF"/>
          </w:tcPr>
          <w:p>
            <w:pPr>
              <w:spacing w:after="0"/>
              <w:rPr>
                <w:sz w:val="20"/>
                <w:szCs w:val="20"/>
                <w:color w:val="auto"/>
              </w:rPr>
            </w:pPr>
            <w:r>
              <w:rPr>
                <w:rFonts w:ascii="Arial" w:cs="Arial" w:eastAsia="Arial" w:hAnsi="Arial"/>
                <w:sz w:val="22"/>
                <w:szCs w:val="22"/>
                <w:color w:val="auto"/>
              </w:rPr>
              <w:t>Amortization of actuarial loss</w:t>
            </w:r>
          </w:p>
        </w:tc>
        <w:tc>
          <w:tcPr>
            <w:tcW w:w="300" w:type="dxa"/>
            <w:vAlign w:val="bottom"/>
            <w:tcBorders>
              <w:bottom w:val="single" w:sz="8" w:color="auto"/>
            </w:tcBorders>
            <w:shd w:val="clear" w:color="auto" w:fill="CCEEFF"/>
          </w:tcPr>
          <w:p>
            <w:pPr>
              <w:spacing w:after="0"/>
              <w:rPr>
                <w:sz w:val="24"/>
                <w:szCs w:val="24"/>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2"/>
                <w:szCs w:val="22"/>
                <w:color w:val="auto"/>
              </w:rPr>
              <w:t>1,823</w:t>
            </w:r>
          </w:p>
        </w:tc>
        <w:tc>
          <w:tcPr>
            <w:tcW w:w="180" w:type="dxa"/>
            <w:vAlign w:val="bottom"/>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spacing w:after="0"/>
              <w:rPr>
                <w:sz w:val="24"/>
                <w:szCs w:val="24"/>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2"/>
                <w:szCs w:val="22"/>
                <w:color w:val="auto"/>
              </w:rPr>
              <w:t>2,001</w:t>
            </w:r>
          </w:p>
        </w:tc>
        <w:tc>
          <w:tcPr>
            <w:tcW w:w="4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380" w:type="dxa"/>
            <w:vAlign w:val="bottom"/>
            <w:tcBorders>
              <w:bottom w:val="single" w:sz="8" w:color="auto"/>
            </w:tcBorders>
            <w:shd w:val="clear" w:color="auto" w:fill="CCEEFF"/>
          </w:tcPr>
          <w:p>
            <w:pPr>
              <w:spacing w:after="0"/>
              <w:rPr>
                <w:sz w:val="24"/>
                <w:szCs w:val="24"/>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2"/>
                <w:szCs w:val="22"/>
                <w:color w:val="auto"/>
              </w:rPr>
              <w:t>5,469</w:t>
            </w:r>
          </w:p>
        </w:tc>
        <w:tc>
          <w:tcPr>
            <w:tcW w:w="180" w:type="dxa"/>
            <w:vAlign w:val="bottom"/>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spacing w:after="0"/>
              <w:rPr>
                <w:sz w:val="24"/>
                <w:szCs w:val="24"/>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2"/>
                <w:szCs w:val="22"/>
                <w:color w:val="auto"/>
              </w:rPr>
              <w:t>6,003</w:t>
            </w:r>
          </w:p>
        </w:tc>
      </w:tr>
      <w:tr>
        <w:trPr>
          <w:trHeight w:val="257"/>
        </w:trPr>
        <w:tc>
          <w:tcPr>
            <w:tcW w:w="3780" w:type="dxa"/>
            <w:vAlign w:val="bottom"/>
          </w:tcPr>
          <w:p>
            <w:pPr>
              <w:spacing w:after="0" w:line="250" w:lineRule="exact"/>
              <w:rPr>
                <w:sz w:val="20"/>
                <w:szCs w:val="20"/>
                <w:color w:val="auto"/>
              </w:rPr>
            </w:pPr>
            <w:r>
              <w:rPr>
                <w:rFonts w:ascii="Arial" w:cs="Arial" w:eastAsia="Arial" w:hAnsi="Arial"/>
                <w:sz w:val="22"/>
                <w:szCs w:val="22"/>
                <w:color w:val="auto"/>
              </w:rPr>
              <w:t>Net periodic benefit cost</w:t>
            </w:r>
          </w:p>
        </w:tc>
        <w:tc>
          <w:tcPr>
            <w:tcW w:w="300" w:type="dxa"/>
            <w:vAlign w:val="bottom"/>
            <w:tcBorders>
              <w:bottom w:val="single" w:sz="8" w:color="auto"/>
            </w:tcBorders>
          </w:tcPr>
          <w:p>
            <w:pPr>
              <w:jc w:val="right"/>
              <w:spacing w:after="0" w:line="250" w:lineRule="exact"/>
              <w:rPr>
                <w:sz w:val="20"/>
                <w:szCs w:val="20"/>
                <w:color w:val="auto"/>
              </w:rPr>
            </w:pPr>
            <w:r>
              <w:rPr>
                <w:rFonts w:ascii="Arial" w:cs="Arial" w:eastAsia="Arial" w:hAnsi="Arial"/>
                <w:sz w:val="22"/>
                <w:szCs w:val="22"/>
                <w:color w:val="auto"/>
              </w:rPr>
              <w:t>$</w:t>
            </w:r>
          </w:p>
        </w:tc>
        <w:tc>
          <w:tcPr>
            <w:tcW w:w="980" w:type="dxa"/>
            <w:vAlign w:val="bottom"/>
            <w:tcBorders>
              <w:bottom w:val="single" w:sz="8" w:color="auto"/>
            </w:tcBorders>
          </w:tcPr>
          <w:p>
            <w:pPr>
              <w:jc w:val="right"/>
              <w:spacing w:after="0" w:line="250" w:lineRule="exact"/>
              <w:rPr>
                <w:sz w:val="20"/>
                <w:szCs w:val="20"/>
                <w:color w:val="auto"/>
              </w:rPr>
            </w:pPr>
            <w:r>
              <w:rPr>
                <w:rFonts w:ascii="Arial" w:cs="Arial" w:eastAsia="Arial" w:hAnsi="Arial"/>
                <w:sz w:val="22"/>
                <w:szCs w:val="22"/>
                <w:color w:val="auto"/>
              </w:rPr>
              <w:t>1,088</w:t>
            </w:r>
          </w:p>
        </w:tc>
        <w:tc>
          <w:tcPr>
            <w:tcW w:w="180" w:type="dxa"/>
            <w:vAlign w:val="bottom"/>
          </w:tcPr>
          <w:p>
            <w:pPr>
              <w:spacing w:after="0"/>
              <w:rPr>
                <w:sz w:val="22"/>
                <w:szCs w:val="22"/>
                <w:color w:val="auto"/>
              </w:rPr>
            </w:pPr>
          </w:p>
        </w:tc>
        <w:tc>
          <w:tcPr>
            <w:tcW w:w="280" w:type="dxa"/>
            <w:vAlign w:val="bottom"/>
            <w:tcBorders>
              <w:bottom w:val="single" w:sz="8" w:color="auto"/>
            </w:tcBorders>
          </w:tcPr>
          <w:p>
            <w:pPr>
              <w:jc w:val="right"/>
              <w:spacing w:after="0" w:line="250" w:lineRule="exact"/>
              <w:rPr>
                <w:sz w:val="20"/>
                <w:szCs w:val="20"/>
                <w:color w:val="auto"/>
              </w:rPr>
            </w:pPr>
            <w:r>
              <w:rPr>
                <w:rFonts w:ascii="Arial" w:cs="Arial" w:eastAsia="Arial" w:hAnsi="Arial"/>
                <w:sz w:val="22"/>
                <w:szCs w:val="22"/>
                <w:color w:val="auto"/>
              </w:rPr>
              <w:t>$</w:t>
            </w:r>
          </w:p>
        </w:tc>
        <w:tc>
          <w:tcPr>
            <w:tcW w:w="840" w:type="dxa"/>
            <w:vAlign w:val="bottom"/>
            <w:tcBorders>
              <w:bottom w:val="single" w:sz="8" w:color="auto"/>
            </w:tcBorders>
          </w:tcPr>
          <w:p>
            <w:pPr>
              <w:jc w:val="right"/>
              <w:spacing w:after="0" w:line="250" w:lineRule="exact"/>
              <w:rPr>
                <w:sz w:val="20"/>
                <w:szCs w:val="20"/>
                <w:color w:val="auto"/>
              </w:rPr>
            </w:pPr>
            <w:r>
              <w:rPr>
                <w:rFonts w:ascii="Arial" w:cs="Arial" w:eastAsia="Arial" w:hAnsi="Arial"/>
                <w:sz w:val="22"/>
                <w:szCs w:val="22"/>
                <w:color w:val="auto"/>
              </w:rPr>
              <w:t>1,778</w:t>
            </w:r>
          </w:p>
        </w:tc>
        <w:tc>
          <w:tcPr>
            <w:tcW w:w="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80" w:type="dxa"/>
            <w:vAlign w:val="bottom"/>
            <w:tcBorders>
              <w:bottom w:val="single" w:sz="8" w:color="auto"/>
            </w:tcBorders>
          </w:tcPr>
          <w:p>
            <w:pPr>
              <w:jc w:val="right"/>
              <w:ind w:right="92"/>
              <w:spacing w:after="0" w:line="250" w:lineRule="exact"/>
              <w:rPr>
                <w:sz w:val="20"/>
                <w:szCs w:val="20"/>
                <w:color w:val="auto"/>
              </w:rPr>
            </w:pPr>
            <w:r>
              <w:rPr>
                <w:rFonts w:ascii="Arial" w:cs="Arial" w:eastAsia="Arial" w:hAnsi="Arial"/>
                <w:sz w:val="22"/>
                <w:szCs w:val="22"/>
                <w:color w:val="auto"/>
              </w:rPr>
              <w:t>$</w:t>
            </w:r>
          </w:p>
        </w:tc>
        <w:tc>
          <w:tcPr>
            <w:tcW w:w="1000" w:type="dxa"/>
            <w:vAlign w:val="bottom"/>
            <w:tcBorders>
              <w:bottom w:val="single" w:sz="8" w:color="auto"/>
            </w:tcBorders>
          </w:tcPr>
          <w:p>
            <w:pPr>
              <w:jc w:val="right"/>
              <w:spacing w:after="0" w:line="250" w:lineRule="exact"/>
              <w:rPr>
                <w:sz w:val="20"/>
                <w:szCs w:val="20"/>
                <w:color w:val="auto"/>
              </w:rPr>
            </w:pPr>
            <w:r>
              <w:rPr>
                <w:rFonts w:ascii="Arial" w:cs="Arial" w:eastAsia="Arial" w:hAnsi="Arial"/>
                <w:sz w:val="22"/>
                <w:szCs w:val="22"/>
                <w:color w:val="auto"/>
              </w:rPr>
              <w:t>3,264</w:t>
            </w:r>
          </w:p>
        </w:tc>
        <w:tc>
          <w:tcPr>
            <w:tcW w:w="180" w:type="dxa"/>
            <w:vAlign w:val="bottom"/>
          </w:tcPr>
          <w:p>
            <w:pPr>
              <w:spacing w:after="0"/>
              <w:rPr>
                <w:sz w:val="22"/>
                <w:szCs w:val="22"/>
                <w:color w:val="auto"/>
              </w:rPr>
            </w:pPr>
          </w:p>
        </w:tc>
        <w:tc>
          <w:tcPr>
            <w:tcW w:w="340" w:type="dxa"/>
            <w:vAlign w:val="bottom"/>
            <w:tcBorders>
              <w:bottom w:val="single" w:sz="8" w:color="auto"/>
            </w:tcBorders>
          </w:tcPr>
          <w:p>
            <w:pPr>
              <w:jc w:val="right"/>
              <w:ind w:right="32"/>
              <w:spacing w:after="0" w:line="250" w:lineRule="exact"/>
              <w:rPr>
                <w:sz w:val="20"/>
                <w:szCs w:val="20"/>
                <w:color w:val="auto"/>
              </w:rPr>
            </w:pPr>
            <w:r>
              <w:rPr>
                <w:rFonts w:ascii="Arial" w:cs="Arial" w:eastAsia="Arial" w:hAnsi="Arial"/>
                <w:sz w:val="22"/>
                <w:szCs w:val="22"/>
                <w:color w:val="auto"/>
              </w:rPr>
              <w:t>$</w:t>
            </w:r>
          </w:p>
        </w:tc>
        <w:tc>
          <w:tcPr>
            <w:tcW w:w="1020" w:type="dxa"/>
            <w:vAlign w:val="bottom"/>
            <w:tcBorders>
              <w:bottom w:val="single" w:sz="8" w:color="auto"/>
            </w:tcBorders>
          </w:tcPr>
          <w:p>
            <w:pPr>
              <w:jc w:val="right"/>
              <w:spacing w:after="0" w:line="250" w:lineRule="exact"/>
              <w:rPr>
                <w:sz w:val="20"/>
                <w:szCs w:val="20"/>
                <w:color w:val="auto"/>
              </w:rPr>
            </w:pPr>
            <w:r>
              <w:rPr>
                <w:rFonts w:ascii="Arial" w:cs="Arial" w:eastAsia="Arial" w:hAnsi="Arial"/>
                <w:sz w:val="22"/>
                <w:szCs w:val="22"/>
                <w:color w:val="auto"/>
              </w:rPr>
              <w:t>5,334</w:t>
            </w:r>
          </w:p>
        </w:tc>
      </w:tr>
      <w:tr>
        <w:trPr>
          <w:trHeight w:val="451"/>
        </w:trPr>
        <w:tc>
          <w:tcPr>
            <w:tcW w:w="37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0" w:type="dxa"/>
            <w:vAlign w:val="bottom"/>
            <w:gridSpan w:val="2"/>
          </w:tcPr>
          <w:p>
            <w:pPr>
              <w:jc w:val="center"/>
              <w:spacing w:after="0"/>
              <w:rPr>
                <w:sz w:val="20"/>
                <w:szCs w:val="20"/>
                <w:color w:val="auto"/>
              </w:rPr>
            </w:pPr>
            <w:r>
              <w:rPr>
                <w:rFonts w:ascii="Arial" w:cs="Arial" w:eastAsia="Arial" w:hAnsi="Arial"/>
                <w:sz w:val="22"/>
                <w:szCs w:val="22"/>
                <w:color w:val="auto"/>
                <w:w w:val="90"/>
              </w:rPr>
              <w:t>Other</w:t>
            </w:r>
          </w:p>
        </w:tc>
        <w:tc>
          <w:tcPr>
            <w:tcW w:w="10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65"/>
        </w:trPr>
        <w:tc>
          <w:tcPr>
            <w:tcW w:w="378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2660" w:type="dxa"/>
            <w:vAlign w:val="bottom"/>
            <w:tcBorders>
              <w:bottom w:val="single" w:sz="8" w:color="auto"/>
            </w:tcBorders>
            <w:gridSpan w:val="6"/>
          </w:tcPr>
          <w:p>
            <w:pPr>
              <w:jc w:val="center"/>
              <w:ind w:right="380"/>
              <w:spacing w:after="0"/>
              <w:rPr>
                <w:sz w:val="20"/>
                <w:szCs w:val="20"/>
                <w:color w:val="auto"/>
              </w:rPr>
            </w:pPr>
            <w:r>
              <w:rPr>
                <w:rFonts w:ascii="Arial" w:cs="Arial" w:eastAsia="Arial" w:hAnsi="Arial"/>
                <w:sz w:val="22"/>
                <w:szCs w:val="22"/>
                <w:color w:val="auto"/>
                <w:w w:val="89"/>
              </w:rPr>
              <w:t>Postretirement Benefits</w:t>
            </w:r>
          </w:p>
        </w:tc>
        <w:tc>
          <w:tcPr>
            <w:tcW w:w="34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spacing w:after="0"/>
              <w:rPr>
                <w:sz w:val="23"/>
                <w:szCs w:val="23"/>
                <w:color w:val="auto"/>
              </w:rPr>
            </w:pPr>
          </w:p>
        </w:tc>
      </w:tr>
      <w:tr>
        <w:trPr>
          <w:trHeight w:val="215"/>
        </w:trPr>
        <w:tc>
          <w:tcPr>
            <w:tcW w:w="3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320" w:type="dxa"/>
            <w:vAlign w:val="bottom"/>
            <w:gridSpan w:val="5"/>
          </w:tcPr>
          <w:p>
            <w:pPr>
              <w:jc w:val="right"/>
              <w:ind w:right="300"/>
              <w:spacing w:after="0" w:line="216" w:lineRule="exact"/>
              <w:rPr>
                <w:sz w:val="20"/>
                <w:szCs w:val="20"/>
                <w:color w:val="auto"/>
              </w:rPr>
            </w:pPr>
            <w:r>
              <w:rPr>
                <w:rFonts w:ascii="Arial" w:cs="Arial" w:eastAsia="Arial" w:hAnsi="Arial"/>
                <w:sz w:val="22"/>
                <w:szCs w:val="22"/>
                <w:color w:val="auto"/>
                <w:w w:val="97"/>
              </w:rPr>
              <w:t>Three Months Ended</w:t>
            </w: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540" w:type="dxa"/>
            <w:vAlign w:val="bottom"/>
            <w:gridSpan w:val="4"/>
          </w:tcPr>
          <w:p>
            <w:pPr>
              <w:jc w:val="right"/>
              <w:ind w:right="392"/>
              <w:spacing w:after="0" w:line="216" w:lineRule="exact"/>
              <w:rPr>
                <w:sz w:val="20"/>
                <w:szCs w:val="20"/>
                <w:color w:val="auto"/>
              </w:rPr>
            </w:pPr>
            <w:r>
              <w:rPr>
                <w:rFonts w:ascii="Arial" w:cs="Arial" w:eastAsia="Arial" w:hAnsi="Arial"/>
                <w:sz w:val="22"/>
                <w:szCs w:val="22"/>
                <w:color w:val="auto"/>
              </w:rPr>
              <w:t>Nine Months Ended</w:t>
            </w:r>
          </w:p>
        </w:tc>
      </w:tr>
      <w:tr>
        <w:trPr>
          <w:trHeight w:val="265"/>
        </w:trPr>
        <w:tc>
          <w:tcPr>
            <w:tcW w:w="37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320" w:type="dxa"/>
            <w:vAlign w:val="bottom"/>
            <w:gridSpan w:val="5"/>
          </w:tcPr>
          <w:p>
            <w:pPr>
              <w:jc w:val="right"/>
              <w:ind w:right="600"/>
              <w:spacing w:after="0"/>
              <w:rPr>
                <w:sz w:val="20"/>
                <w:szCs w:val="20"/>
                <w:color w:val="auto"/>
              </w:rPr>
            </w:pPr>
            <w:r>
              <w:rPr>
                <w:rFonts w:ascii="Arial" w:cs="Arial" w:eastAsia="Arial" w:hAnsi="Arial"/>
                <w:sz w:val="22"/>
                <w:szCs w:val="22"/>
                <w:color w:val="auto"/>
              </w:rPr>
              <w:t>September 30,</w:t>
            </w:r>
          </w:p>
        </w:tc>
        <w:tc>
          <w:tcPr>
            <w:tcW w:w="2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2540" w:type="dxa"/>
            <w:vAlign w:val="bottom"/>
            <w:gridSpan w:val="4"/>
          </w:tcPr>
          <w:p>
            <w:pPr>
              <w:jc w:val="right"/>
              <w:ind w:right="632"/>
              <w:spacing w:after="0"/>
              <w:rPr>
                <w:sz w:val="20"/>
                <w:szCs w:val="20"/>
                <w:color w:val="auto"/>
              </w:rPr>
            </w:pPr>
            <w:r>
              <w:rPr>
                <w:rFonts w:ascii="Arial" w:cs="Arial" w:eastAsia="Arial" w:hAnsi="Arial"/>
                <w:sz w:val="22"/>
                <w:szCs w:val="22"/>
                <w:color w:val="auto"/>
              </w:rPr>
              <w:t>September 30,</w:t>
            </w:r>
          </w:p>
        </w:tc>
      </w:tr>
      <w:tr>
        <w:trPr>
          <w:trHeight w:val="264"/>
        </w:trPr>
        <w:tc>
          <w:tcPr>
            <w:tcW w:w="3780" w:type="dxa"/>
            <w:vAlign w:val="bottom"/>
            <w:tcBorders>
              <w:bottom w:val="single" w:sz="8" w:color="CCEEFF"/>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980" w:type="dxa"/>
            <w:vAlign w:val="bottom"/>
            <w:tcBorders>
              <w:top w:val="single" w:sz="8" w:color="auto"/>
              <w:bottom w:val="single" w:sz="8" w:color="auto"/>
            </w:tcBorders>
          </w:tcPr>
          <w:p>
            <w:pPr>
              <w:jc w:val="right"/>
              <w:ind w:right="312"/>
              <w:spacing w:after="0"/>
              <w:rPr>
                <w:sz w:val="20"/>
                <w:szCs w:val="20"/>
                <w:color w:val="auto"/>
              </w:rPr>
            </w:pPr>
            <w:r>
              <w:rPr>
                <w:rFonts w:ascii="Arial" w:cs="Arial" w:eastAsia="Arial" w:hAnsi="Arial"/>
                <w:sz w:val="22"/>
                <w:szCs w:val="22"/>
                <w:color w:val="auto"/>
              </w:rPr>
              <w:t>2018</w:t>
            </w:r>
          </w:p>
        </w:tc>
        <w:tc>
          <w:tcPr>
            <w:tcW w:w="180" w:type="dxa"/>
            <w:vAlign w:val="bottom"/>
            <w:tcBorders>
              <w:top w:val="single" w:sz="8" w:color="auto"/>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840" w:type="dxa"/>
            <w:vAlign w:val="bottom"/>
            <w:tcBorders>
              <w:top w:val="single" w:sz="8" w:color="auto"/>
              <w:bottom w:val="single" w:sz="8" w:color="auto"/>
            </w:tcBorders>
          </w:tcPr>
          <w:p>
            <w:pPr>
              <w:jc w:val="right"/>
              <w:ind w:right="232"/>
              <w:spacing w:after="0"/>
              <w:rPr>
                <w:sz w:val="20"/>
                <w:szCs w:val="20"/>
                <w:color w:val="auto"/>
              </w:rPr>
            </w:pPr>
            <w:r>
              <w:rPr>
                <w:rFonts w:ascii="Arial" w:cs="Arial" w:eastAsia="Arial" w:hAnsi="Arial"/>
                <w:sz w:val="22"/>
                <w:szCs w:val="22"/>
                <w:color w:val="auto"/>
                <w:w w:val="98"/>
              </w:rPr>
              <w:t>2017</w:t>
            </w:r>
          </w:p>
        </w:tc>
        <w:tc>
          <w:tcPr>
            <w:tcW w:w="40" w:type="dxa"/>
            <w:vAlign w:val="bottom"/>
            <w:tcBorders>
              <w:bottom w:val="single" w:sz="8" w:color="CCEEFF"/>
            </w:tcBorders>
          </w:tcPr>
          <w:p>
            <w:pPr>
              <w:spacing w:after="0"/>
              <w:rPr>
                <w:sz w:val="22"/>
                <w:szCs w:val="22"/>
                <w:color w:val="auto"/>
              </w:rPr>
            </w:pPr>
          </w:p>
        </w:tc>
        <w:tc>
          <w:tcPr>
            <w:tcW w:w="220" w:type="dxa"/>
            <w:vAlign w:val="bottom"/>
            <w:tcBorders>
              <w:bottom w:val="single" w:sz="8" w:color="CCEEFF"/>
            </w:tcBorders>
          </w:tcPr>
          <w:p>
            <w:pPr>
              <w:spacing w:after="0"/>
              <w:rPr>
                <w:sz w:val="22"/>
                <w:szCs w:val="22"/>
                <w:color w:val="auto"/>
              </w:rPr>
            </w:pPr>
          </w:p>
        </w:tc>
        <w:tc>
          <w:tcPr>
            <w:tcW w:w="380" w:type="dxa"/>
            <w:vAlign w:val="bottom"/>
            <w:tcBorders>
              <w:top w:val="single" w:sz="8" w:color="auto"/>
              <w:bottom w:val="single" w:sz="8" w:color="auto"/>
            </w:tcBorders>
          </w:tcPr>
          <w:p>
            <w:pPr>
              <w:spacing w:after="0"/>
              <w:rPr>
                <w:sz w:val="22"/>
                <w:szCs w:val="22"/>
                <w:color w:val="auto"/>
              </w:rPr>
            </w:pPr>
          </w:p>
        </w:tc>
        <w:tc>
          <w:tcPr>
            <w:tcW w:w="1000" w:type="dxa"/>
            <w:vAlign w:val="bottom"/>
            <w:tcBorders>
              <w:top w:val="single" w:sz="8" w:color="auto"/>
              <w:bottom w:val="single" w:sz="8" w:color="auto"/>
            </w:tcBorders>
          </w:tcPr>
          <w:p>
            <w:pPr>
              <w:jc w:val="right"/>
              <w:ind w:right="372"/>
              <w:spacing w:after="0"/>
              <w:rPr>
                <w:sz w:val="20"/>
                <w:szCs w:val="20"/>
                <w:color w:val="auto"/>
              </w:rPr>
            </w:pPr>
            <w:r>
              <w:rPr>
                <w:rFonts w:ascii="Arial" w:cs="Arial" w:eastAsia="Arial" w:hAnsi="Arial"/>
                <w:sz w:val="22"/>
                <w:szCs w:val="22"/>
                <w:color w:val="auto"/>
              </w:rPr>
              <w:t>2018</w:t>
            </w:r>
          </w:p>
        </w:tc>
        <w:tc>
          <w:tcPr>
            <w:tcW w:w="180" w:type="dxa"/>
            <w:vAlign w:val="bottom"/>
            <w:tcBorders>
              <w:top w:val="single" w:sz="8" w:color="auto"/>
              <w:bottom w:val="single" w:sz="8" w:color="CCEEFF"/>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020" w:type="dxa"/>
            <w:vAlign w:val="bottom"/>
            <w:tcBorders>
              <w:top w:val="single" w:sz="8" w:color="auto"/>
              <w:bottom w:val="single" w:sz="8" w:color="auto"/>
            </w:tcBorders>
          </w:tcPr>
          <w:p>
            <w:pPr>
              <w:jc w:val="right"/>
              <w:ind w:right="352"/>
              <w:spacing w:after="0"/>
              <w:rPr>
                <w:sz w:val="20"/>
                <w:szCs w:val="20"/>
                <w:color w:val="auto"/>
              </w:rPr>
            </w:pPr>
            <w:r>
              <w:rPr>
                <w:rFonts w:ascii="Arial" w:cs="Arial" w:eastAsia="Arial" w:hAnsi="Arial"/>
                <w:sz w:val="22"/>
                <w:szCs w:val="22"/>
                <w:color w:val="auto"/>
              </w:rPr>
              <w:t>2017</w:t>
            </w:r>
          </w:p>
        </w:tc>
      </w:tr>
      <w:tr>
        <w:trPr>
          <w:trHeight w:val="264"/>
        </w:trPr>
        <w:tc>
          <w:tcPr>
            <w:tcW w:w="3780" w:type="dxa"/>
            <w:vAlign w:val="bottom"/>
            <w:shd w:val="clear" w:color="auto" w:fill="CCEEFF"/>
          </w:tcPr>
          <w:p>
            <w:pPr>
              <w:spacing w:after="0"/>
              <w:rPr>
                <w:sz w:val="20"/>
                <w:szCs w:val="20"/>
                <w:color w:val="auto"/>
              </w:rPr>
            </w:pPr>
            <w:r>
              <w:rPr>
                <w:rFonts w:ascii="Arial" w:cs="Arial" w:eastAsia="Arial" w:hAnsi="Arial"/>
                <w:sz w:val="22"/>
                <w:szCs w:val="22"/>
                <w:color w:val="auto"/>
              </w:rPr>
              <w:t>Service cost</w:t>
            </w:r>
          </w:p>
        </w:tc>
        <w:tc>
          <w:tcPr>
            <w:tcW w:w="300" w:type="dxa"/>
            <w:vAlign w:val="bottom"/>
            <w:shd w:val="clear" w:color="auto" w:fill="CCEEFF"/>
          </w:tcPr>
          <w:p>
            <w:pPr>
              <w:jc w:val="right"/>
              <w:spacing w:after="0"/>
              <w:rPr>
                <w:sz w:val="20"/>
                <w:szCs w:val="20"/>
                <w:color w:val="auto"/>
              </w:rPr>
            </w:pPr>
            <w:r>
              <w:rPr>
                <w:rFonts w:ascii="Arial" w:cs="Arial" w:eastAsia="Arial" w:hAnsi="Arial"/>
                <w:sz w:val="22"/>
                <w:szCs w:val="22"/>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22"/>
                <w:szCs w:val="22"/>
                <w:color w:val="auto"/>
              </w:rPr>
              <w:t>262</w:t>
            </w:r>
          </w:p>
        </w:tc>
        <w:tc>
          <w:tcPr>
            <w:tcW w:w="180" w:type="dxa"/>
            <w:vAlign w:val="bottom"/>
            <w:shd w:val="clear" w:color="auto" w:fill="CCEEFF"/>
          </w:tcPr>
          <w:p>
            <w:pPr>
              <w:spacing w:after="0"/>
              <w:rPr>
                <w:sz w:val="22"/>
                <w:szCs w:val="22"/>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22"/>
                <w:szCs w:val="22"/>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22"/>
                <w:szCs w:val="22"/>
                <w:color w:val="auto"/>
              </w:rPr>
              <w:t>255</w:t>
            </w:r>
          </w:p>
        </w:tc>
        <w:tc>
          <w:tcPr>
            <w:tcW w:w="40" w:type="dxa"/>
            <w:vAlign w:val="bottom"/>
            <w:shd w:val="clear" w:color="auto" w:fill="CCEEFF"/>
          </w:tcPr>
          <w:p>
            <w:pPr>
              <w:spacing w:after="0"/>
              <w:rPr>
                <w:sz w:val="22"/>
                <w:szCs w:val="22"/>
                <w:color w:val="auto"/>
              </w:rPr>
            </w:pPr>
          </w:p>
        </w:tc>
        <w:tc>
          <w:tcPr>
            <w:tcW w:w="600" w:type="dxa"/>
            <w:vAlign w:val="bottom"/>
            <w:gridSpan w:val="2"/>
            <w:shd w:val="clear" w:color="auto" w:fill="CCEEFF"/>
          </w:tcPr>
          <w:p>
            <w:pPr>
              <w:jc w:val="right"/>
              <w:ind w:right="92"/>
              <w:spacing w:after="0"/>
              <w:rPr>
                <w:sz w:val="20"/>
                <w:szCs w:val="20"/>
                <w:color w:val="auto"/>
              </w:rPr>
            </w:pPr>
            <w:r>
              <w:rPr>
                <w:rFonts w:ascii="Arial" w:cs="Arial" w:eastAsia="Arial" w:hAnsi="Arial"/>
                <w:sz w:val="22"/>
                <w:szCs w:val="22"/>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22"/>
                <w:szCs w:val="22"/>
                <w:color w:val="auto"/>
              </w:rPr>
              <w:t>786</w:t>
            </w:r>
          </w:p>
        </w:tc>
        <w:tc>
          <w:tcPr>
            <w:tcW w:w="18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32"/>
              <w:spacing w:after="0"/>
              <w:rPr>
                <w:sz w:val="20"/>
                <w:szCs w:val="20"/>
                <w:color w:val="auto"/>
              </w:rPr>
            </w:pPr>
            <w:r>
              <w:rPr>
                <w:rFonts w:ascii="Arial" w:cs="Arial" w:eastAsia="Arial" w:hAnsi="Arial"/>
                <w:sz w:val="22"/>
                <w:szCs w:val="22"/>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22"/>
                <w:szCs w:val="22"/>
                <w:color w:val="auto"/>
              </w:rPr>
              <w:t>765</w:t>
            </w:r>
          </w:p>
        </w:tc>
      </w:tr>
      <w:tr>
        <w:trPr>
          <w:trHeight w:val="284"/>
        </w:trPr>
        <w:tc>
          <w:tcPr>
            <w:tcW w:w="3780" w:type="dxa"/>
            <w:vAlign w:val="bottom"/>
          </w:tcPr>
          <w:p>
            <w:pPr>
              <w:spacing w:after="0"/>
              <w:rPr>
                <w:sz w:val="20"/>
                <w:szCs w:val="20"/>
                <w:color w:val="auto"/>
              </w:rPr>
            </w:pPr>
            <w:r>
              <w:rPr>
                <w:rFonts w:ascii="Arial" w:cs="Arial" w:eastAsia="Arial" w:hAnsi="Arial"/>
                <w:sz w:val="22"/>
                <w:szCs w:val="22"/>
                <w:color w:val="auto"/>
              </w:rPr>
              <w:t>Interest cost</w:t>
            </w:r>
          </w:p>
        </w:tc>
        <w:tc>
          <w:tcPr>
            <w:tcW w:w="30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22"/>
                <w:szCs w:val="22"/>
                <w:color w:val="auto"/>
              </w:rPr>
              <w:t>708</w:t>
            </w: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22"/>
                <w:szCs w:val="22"/>
                <w:color w:val="auto"/>
              </w:rPr>
              <w:t>737</w:t>
            </w: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22"/>
                <w:szCs w:val="22"/>
                <w:color w:val="auto"/>
              </w:rPr>
              <w:t>2,124</w:t>
            </w: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22"/>
                <w:szCs w:val="22"/>
                <w:color w:val="auto"/>
              </w:rPr>
              <w:t>2,211</w:t>
            </w:r>
          </w:p>
        </w:tc>
      </w:tr>
      <w:tr>
        <w:trPr>
          <w:trHeight w:val="284"/>
        </w:trPr>
        <w:tc>
          <w:tcPr>
            <w:tcW w:w="3780" w:type="dxa"/>
            <w:vAlign w:val="bottom"/>
            <w:shd w:val="clear" w:color="auto" w:fill="CCEEFF"/>
          </w:tcPr>
          <w:p>
            <w:pPr>
              <w:spacing w:after="0"/>
              <w:rPr>
                <w:sz w:val="20"/>
                <w:szCs w:val="20"/>
                <w:color w:val="auto"/>
              </w:rPr>
            </w:pPr>
            <w:r>
              <w:rPr>
                <w:rFonts w:ascii="Arial" w:cs="Arial" w:eastAsia="Arial" w:hAnsi="Arial"/>
                <w:sz w:val="22"/>
                <w:szCs w:val="22"/>
                <w:color w:val="auto"/>
              </w:rPr>
              <w:t>Expected return on plan assets</w:t>
            </w:r>
          </w:p>
        </w:tc>
        <w:tc>
          <w:tcPr>
            <w:tcW w:w="300" w:type="dxa"/>
            <w:vAlign w:val="bottom"/>
            <w:shd w:val="clear" w:color="auto" w:fill="CCEEFF"/>
          </w:tcPr>
          <w:p>
            <w:pPr>
              <w:spacing w:after="0"/>
              <w:rPr>
                <w:sz w:val="24"/>
                <w:szCs w:val="24"/>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22"/>
                <w:szCs w:val="22"/>
                <w:color w:val="auto"/>
              </w:rPr>
              <w:t>(677)</w:t>
            </w:r>
          </w:p>
        </w:tc>
        <w:tc>
          <w:tcPr>
            <w:tcW w:w="280" w:type="dxa"/>
            <w:vAlign w:val="bottom"/>
            <w:shd w:val="clear" w:color="auto" w:fill="CCEEFF"/>
          </w:tcPr>
          <w:p>
            <w:pPr>
              <w:spacing w:after="0"/>
              <w:rPr>
                <w:sz w:val="24"/>
                <w:szCs w:val="24"/>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22"/>
                <w:szCs w:val="22"/>
                <w:color w:val="auto"/>
              </w:rPr>
              <w:t>(647)</w:t>
            </w:r>
          </w:p>
        </w:tc>
        <w:tc>
          <w:tcPr>
            <w:tcW w:w="2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22"/>
                <w:szCs w:val="22"/>
                <w:color w:val="auto"/>
              </w:rPr>
              <w:t>(2,031)</w:t>
            </w:r>
          </w:p>
        </w:tc>
        <w:tc>
          <w:tcPr>
            <w:tcW w:w="340" w:type="dxa"/>
            <w:vAlign w:val="bottom"/>
            <w:shd w:val="clear" w:color="auto" w:fill="CCEEFF"/>
          </w:tcPr>
          <w:p>
            <w:pPr>
              <w:spacing w:after="0"/>
              <w:rPr>
                <w:sz w:val="24"/>
                <w:szCs w:val="2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22"/>
                <w:szCs w:val="22"/>
                <w:color w:val="auto"/>
              </w:rPr>
              <w:t>(1,941)</w:t>
            </w:r>
          </w:p>
        </w:tc>
      </w:tr>
      <w:tr>
        <w:trPr>
          <w:trHeight w:val="284"/>
        </w:trPr>
        <w:tc>
          <w:tcPr>
            <w:tcW w:w="3780" w:type="dxa"/>
            <w:vAlign w:val="bottom"/>
          </w:tcPr>
          <w:p>
            <w:pPr>
              <w:spacing w:after="0"/>
              <w:rPr>
                <w:sz w:val="20"/>
                <w:szCs w:val="20"/>
                <w:color w:val="auto"/>
              </w:rPr>
            </w:pPr>
            <w:r>
              <w:rPr>
                <w:rFonts w:ascii="Arial" w:cs="Arial" w:eastAsia="Arial" w:hAnsi="Arial"/>
                <w:sz w:val="22"/>
                <w:szCs w:val="22"/>
                <w:color w:val="auto"/>
              </w:rPr>
              <w:t>Amortization of prior service cost</w:t>
            </w:r>
          </w:p>
        </w:tc>
        <w:tc>
          <w:tcPr>
            <w:tcW w:w="300" w:type="dxa"/>
            <w:vAlign w:val="bottom"/>
          </w:tcPr>
          <w:p>
            <w:pPr>
              <w:spacing w:after="0"/>
              <w:rPr>
                <w:sz w:val="24"/>
                <w:szCs w:val="24"/>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22"/>
                <w:szCs w:val="22"/>
                <w:color w:val="auto"/>
              </w:rPr>
              <w:t>(127)</w:t>
            </w:r>
          </w:p>
        </w:tc>
        <w:tc>
          <w:tcPr>
            <w:tcW w:w="280" w:type="dxa"/>
            <w:vAlign w:val="bottom"/>
          </w:tcPr>
          <w:p>
            <w:pPr>
              <w:spacing w:after="0"/>
              <w:rPr>
                <w:sz w:val="24"/>
                <w:szCs w:val="24"/>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22"/>
                <w:szCs w:val="22"/>
                <w:color w:val="auto"/>
              </w:rPr>
              <w:t>(127)</w:t>
            </w: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22"/>
                <w:szCs w:val="22"/>
                <w:color w:val="auto"/>
              </w:rPr>
              <w:t>(381)</w:t>
            </w:r>
          </w:p>
        </w:tc>
        <w:tc>
          <w:tcPr>
            <w:tcW w:w="34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22"/>
                <w:szCs w:val="22"/>
                <w:color w:val="auto"/>
              </w:rPr>
              <w:t>(381)</w:t>
            </w:r>
          </w:p>
        </w:tc>
      </w:tr>
      <w:tr>
        <w:trPr>
          <w:trHeight w:val="284"/>
        </w:trPr>
        <w:tc>
          <w:tcPr>
            <w:tcW w:w="3780" w:type="dxa"/>
            <w:vAlign w:val="bottom"/>
            <w:shd w:val="clear" w:color="auto" w:fill="CCEEFF"/>
          </w:tcPr>
          <w:p>
            <w:pPr>
              <w:spacing w:after="0"/>
              <w:rPr>
                <w:sz w:val="20"/>
                <w:szCs w:val="20"/>
                <w:color w:val="auto"/>
              </w:rPr>
            </w:pPr>
            <w:r>
              <w:rPr>
                <w:rFonts w:ascii="Arial" w:cs="Arial" w:eastAsia="Arial" w:hAnsi="Arial"/>
                <w:sz w:val="22"/>
                <w:szCs w:val="22"/>
                <w:color w:val="auto"/>
              </w:rPr>
              <w:t>Amortization of actuarial loss</w:t>
            </w:r>
          </w:p>
        </w:tc>
        <w:tc>
          <w:tcPr>
            <w:tcW w:w="300" w:type="dxa"/>
            <w:vAlign w:val="bottom"/>
            <w:tcBorders>
              <w:bottom w:val="single" w:sz="8" w:color="auto"/>
            </w:tcBorders>
            <w:shd w:val="clear" w:color="auto" w:fill="CCEEFF"/>
          </w:tcPr>
          <w:p>
            <w:pPr>
              <w:spacing w:after="0"/>
              <w:rPr>
                <w:sz w:val="24"/>
                <w:szCs w:val="24"/>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2"/>
                <w:szCs w:val="22"/>
                <w:color w:val="auto"/>
              </w:rPr>
              <w:t>296</w:t>
            </w:r>
          </w:p>
        </w:tc>
        <w:tc>
          <w:tcPr>
            <w:tcW w:w="180" w:type="dxa"/>
            <w:vAlign w:val="bottom"/>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spacing w:after="0"/>
              <w:rPr>
                <w:sz w:val="24"/>
                <w:szCs w:val="24"/>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2"/>
                <w:szCs w:val="22"/>
                <w:color w:val="auto"/>
              </w:rPr>
              <w:t>291</w:t>
            </w:r>
          </w:p>
        </w:tc>
        <w:tc>
          <w:tcPr>
            <w:tcW w:w="4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380" w:type="dxa"/>
            <w:vAlign w:val="bottom"/>
            <w:tcBorders>
              <w:bottom w:val="single" w:sz="8" w:color="auto"/>
            </w:tcBorders>
            <w:shd w:val="clear" w:color="auto" w:fill="CCEEFF"/>
          </w:tcPr>
          <w:p>
            <w:pPr>
              <w:spacing w:after="0"/>
              <w:rPr>
                <w:sz w:val="24"/>
                <w:szCs w:val="24"/>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2"/>
                <w:szCs w:val="22"/>
                <w:color w:val="auto"/>
              </w:rPr>
              <w:t>888</w:t>
            </w:r>
          </w:p>
        </w:tc>
        <w:tc>
          <w:tcPr>
            <w:tcW w:w="180" w:type="dxa"/>
            <w:vAlign w:val="bottom"/>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spacing w:after="0"/>
              <w:rPr>
                <w:sz w:val="24"/>
                <w:szCs w:val="24"/>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2"/>
                <w:szCs w:val="22"/>
                <w:color w:val="auto"/>
              </w:rPr>
              <w:t>873</w:t>
            </w:r>
          </w:p>
        </w:tc>
      </w:tr>
      <w:tr>
        <w:trPr>
          <w:trHeight w:val="257"/>
        </w:trPr>
        <w:tc>
          <w:tcPr>
            <w:tcW w:w="3780" w:type="dxa"/>
            <w:vAlign w:val="bottom"/>
          </w:tcPr>
          <w:p>
            <w:pPr>
              <w:spacing w:after="0" w:line="250" w:lineRule="exact"/>
              <w:rPr>
                <w:sz w:val="20"/>
                <w:szCs w:val="20"/>
                <w:color w:val="auto"/>
              </w:rPr>
            </w:pPr>
            <w:r>
              <w:rPr>
                <w:rFonts w:ascii="Arial" w:cs="Arial" w:eastAsia="Arial" w:hAnsi="Arial"/>
                <w:sz w:val="22"/>
                <w:szCs w:val="22"/>
                <w:color w:val="auto"/>
              </w:rPr>
              <w:t>Net periodic benefit cost</w:t>
            </w:r>
          </w:p>
        </w:tc>
        <w:tc>
          <w:tcPr>
            <w:tcW w:w="300" w:type="dxa"/>
            <w:vAlign w:val="bottom"/>
            <w:tcBorders>
              <w:bottom w:val="single" w:sz="8" w:color="auto"/>
            </w:tcBorders>
          </w:tcPr>
          <w:p>
            <w:pPr>
              <w:jc w:val="right"/>
              <w:spacing w:after="0" w:line="250" w:lineRule="exact"/>
              <w:rPr>
                <w:sz w:val="20"/>
                <w:szCs w:val="20"/>
                <w:color w:val="auto"/>
              </w:rPr>
            </w:pPr>
            <w:r>
              <w:rPr>
                <w:rFonts w:ascii="Arial" w:cs="Arial" w:eastAsia="Arial" w:hAnsi="Arial"/>
                <w:sz w:val="22"/>
                <w:szCs w:val="22"/>
                <w:color w:val="auto"/>
              </w:rPr>
              <w:t>$</w:t>
            </w:r>
          </w:p>
        </w:tc>
        <w:tc>
          <w:tcPr>
            <w:tcW w:w="980" w:type="dxa"/>
            <w:vAlign w:val="bottom"/>
            <w:tcBorders>
              <w:bottom w:val="single" w:sz="8" w:color="auto"/>
            </w:tcBorders>
          </w:tcPr>
          <w:p>
            <w:pPr>
              <w:jc w:val="right"/>
              <w:spacing w:after="0" w:line="250" w:lineRule="exact"/>
              <w:rPr>
                <w:sz w:val="20"/>
                <w:szCs w:val="20"/>
                <w:color w:val="auto"/>
              </w:rPr>
            </w:pPr>
            <w:r>
              <w:rPr>
                <w:rFonts w:ascii="Arial" w:cs="Arial" w:eastAsia="Arial" w:hAnsi="Arial"/>
                <w:sz w:val="22"/>
                <w:szCs w:val="22"/>
                <w:color w:val="auto"/>
              </w:rPr>
              <w:t>462</w:t>
            </w:r>
          </w:p>
        </w:tc>
        <w:tc>
          <w:tcPr>
            <w:tcW w:w="180" w:type="dxa"/>
            <w:vAlign w:val="bottom"/>
          </w:tcPr>
          <w:p>
            <w:pPr>
              <w:spacing w:after="0"/>
              <w:rPr>
                <w:sz w:val="22"/>
                <w:szCs w:val="22"/>
                <w:color w:val="auto"/>
              </w:rPr>
            </w:pPr>
          </w:p>
        </w:tc>
        <w:tc>
          <w:tcPr>
            <w:tcW w:w="280" w:type="dxa"/>
            <w:vAlign w:val="bottom"/>
            <w:tcBorders>
              <w:bottom w:val="single" w:sz="8" w:color="auto"/>
            </w:tcBorders>
          </w:tcPr>
          <w:p>
            <w:pPr>
              <w:jc w:val="right"/>
              <w:spacing w:after="0" w:line="250" w:lineRule="exact"/>
              <w:rPr>
                <w:sz w:val="20"/>
                <w:szCs w:val="20"/>
                <w:color w:val="auto"/>
              </w:rPr>
            </w:pPr>
            <w:r>
              <w:rPr>
                <w:rFonts w:ascii="Arial" w:cs="Arial" w:eastAsia="Arial" w:hAnsi="Arial"/>
                <w:sz w:val="22"/>
                <w:szCs w:val="22"/>
                <w:color w:val="auto"/>
              </w:rPr>
              <w:t>$</w:t>
            </w:r>
          </w:p>
        </w:tc>
        <w:tc>
          <w:tcPr>
            <w:tcW w:w="840" w:type="dxa"/>
            <w:vAlign w:val="bottom"/>
            <w:tcBorders>
              <w:bottom w:val="single" w:sz="8" w:color="auto"/>
            </w:tcBorders>
          </w:tcPr>
          <w:p>
            <w:pPr>
              <w:jc w:val="right"/>
              <w:spacing w:after="0" w:line="250" w:lineRule="exact"/>
              <w:rPr>
                <w:sz w:val="20"/>
                <w:szCs w:val="20"/>
                <w:color w:val="auto"/>
              </w:rPr>
            </w:pPr>
            <w:r>
              <w:rPr>
                <w:rFonts w:ascii="Arial" w:cs="Arial" w:eastAsia="Arial" w:hAnsi="Arial"/>
                <w:sz w:val="22"/>
                <w:szCs w:val="22"/>
                <w:color w:val="auto"/>
              </w:rPr>
              <w:t>509</w:t>
            </w:r>
          </w:p>
        </w:tc>
        <w:tc>
          <w:tcPr>
            <w:tcW w:w="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80" w:type="dxa"/>
            <w:vAlign w:val="bottom"/>
            <w:tcBorders>
              <w:bottom w:val="single" w:sz="8" w:color="auto"/>
            </w:tcBorders>
          </w:tcPr>
          <w:p>
            <w:pPr>
              <w:jc w:val="right"/>
              <w:ind w:right="92"/>
              <w:spacing w:after="0" w:line="250" w:lineRule="exact"/>
              <w:rPr>
                <w:sz w:val="20"/>
                <w:szCs w:val="20"/>
                <w:color w:val="auto"/>
              </w:rPr>
            </w:pPr>
            <w:r>
              <w:rPr>
                <w:rFonts w:ascii="Arial" w:cs="Arial" w:eastAsia="Arial" w:hAnsi="Arial"/>
                <w:sz w:val="22"/>
                <w:szCs w:val="22"/>
                <w:color w:val="auto"/>
              </w:rPr>
              <w:t>$</w:t>
            </w:r>
          </w:p>
        </w:tc>
        <w:tc>
          <w:tcPr>
            <w:tcW w:w="1000" w:type="dxa"/>
            <w:vAlign w:val="bottom"/>
            <w:tcBorders>
              <w:bottom w:val="single" w:sz="8" w:color="auto"/>
            </w:tcBorders>
          </w:tcPr>
          <w:p>
            <w:pPr>
              <w:jc w:val="right"/>
              <w:spacing w:after="0" w:line="250" w:lineRule="exact"/>
              <w:rPr>
                <w:sz w:val="20"/>
                <w:szCs w:val="20"/>
                <w:color w:val="auto"/>
              </w:rPr>
            </w:pPr>
            <w:r>
              <w:rPr>
                <w:rFonts w:ascii="Arial" w:cs="Arial" w:eastAsia="Arial" w:hAnsi="Arial"/>
                <w:sz w:val="22"/>
                <w:szCs w:val="22"/>
                <w:color w:val="auto"/>
              </w:rPr>
              <w:t>1,386</w:t>
            </w:r>
          </w:p>
        </w:tc>
        <w:tc>
          <w:tcPr>
            <w:tcW w:w="180" w:type="dxa"/>
            <w:vAlign w:val="bottom"/>
          </w:tcPr>
          <w:p>
            <w:pPr>
              <w:spacing w:after="0"/>
              <w:rPr>
                <w:sz w:val="22"/>
                <w:szCs w:val="22"/>
                <w:color w:val="auto"/>
              </w:rPr>
            </w:pPr>
          </w:p>
        </w:tc>
        <w:tc>
          <w:tcPr>
            <w:tcW w:w="340" w:type="dxa"/>
            <w:vAlign w:val="bottom"/>
            <w:tcBorders>
              <w:bottom w:val="single" w:sz="8" w:color="auto"/>
            </w:tcBorders>
          </w:tcPr>
          <w:p>
            <w:pPr>
              <w:jc w:val="right"/>
              <w:ind w:right="32"/>
              <w:spacing w:after="0" w:line="250" w:lineRule="exact"/>
              <w:rPr>
                <w:sz w:val="20"/>
                <w:szCs w:val="20"/>
                <w:color w:val="auto"/>
              </w:rPr>
            </w:pPr>
            <w:r>
              <w:rPr>
                <w:rFonts w:ascii="Arial" w:cs="Arial" w:eastAsia="Arial" w:hAnsi="Arial"/>
                <w:sz w:val="22"/>
                <w:szCs w:val="22"/>
                <w:color w:val="auto"/>
              </w:rPr>
              <w:t>$</w:t>
            </w:r>
          </w:p>
        </w:tc>
        <w:tc>
          <w:tcPr>
            <w:tcW w:w="1020" w:type="dxa"/>
            <w:vAlign w:val="bottom"/>
            <w:tcBorders>
              <w:bottom w:val="single" w:sz="8" w:color="auto"/>
            </w:tcBorders>
          </w:tcPr>
          <w:p>
            <w:pPr>
              <w:jc w:val="right"/>
              <w:spacing w:after="0" w:line="250" w:lineRule="exact"/>
              <w:rPr>
                <w:sz w:val="20"/>
                <w:szCs w:val="20"/>
                <w:color w:val="auto"/>
              </w:rPr>
            </w:pPr>
            <w:r>
              <w:rPr>
                <w:rFonts w:ascii="Arial" w:cs="Arial" w:eastAsia="Arial" w:hAnsi="Arial"/>
                <w:sz w:val="22"/>
                <w:szCs w:val="22"/>
                <w:color w:val="auto"/>
              </w:rPr>
              <w:t>1,527</w:t>
            </w:r>
          </w:p>
        </w:tc>
      </w:tr>
    </w:tbl>
    <w:p>
      <w:pPr>
        <w:spacing w:after="0" w:line="222" w:lineRule="exact"/>
        <w:rPr>
          <w:sz w:val="20"/>
          <w:szCs w:val="20"/>
          <w:color w:val="auto"/>
        </w:rPr>
      </w:pPr>
    </w:p>
    <w:p>
      <w:pPr>
        <w:ind w:right="800"/>
        <w:spacing w:after="0" w:line="251" w:lineRule="auto"/>
        <w:rPr>
          <w:sz w:val="20"/>
          <w:szCs w:val="20"/>
          <w:color w:val="auto"/>
        </w:rPr>
      </w:pPr>
      <w:r>
        <w:rPr>
          <w:rFonts w:ascii="Arial" w:cs="Arial" w:eastAsia="Arial" w:hAnsi="Arial"/>
          <w:sz w:val="22"/>
          <w:szCs w:val="22"/>
          <w:color w:val="auto"/>
        </w:rPr>
        <w:t>The components of net periodic benefit cost other than service cost are presented on the consolidated statements of net income on the line item “Other.”</w:t>
      </w:r>
    </w:p>
    <w:p>
      <w:pPr>
        <w:spacing w:after="0" w:line="200" w:lineRule="exact"/>
        <w:rPr>
          <w:sz w:val="20"/>
          <w:szCs w:val="20"/>
          <w:color w:val="auto"/>
        </w:rPr>
      </w:pPr>
    </w:p>
    <w:p>
      <w:pPr>
        <w:ind w:right="280"/>
        <w:spacing w:after="0" w:line="251" w:lineRule="auto"/>
        <w:rPr>
          <w:sz w:val="20"/>
          <w:szCs w:val="20"/>
          <w:color w:val="auto"/>
        </w:rPr>
      </w:pPr>
      <w:r>
        <w:rPr>
          <w:rFonts w:ascii="Arial" w:cs="Arial" w:eastAsia="Arial" w:hAnsi="Arial"/>
          <w:sz w:val="22"/>
          <w:szCs w:val="22"/>
          <w:color w:val="auto"/>
        </w:rPr>
        <w:t>The Company made cash contributions of $12,484 to its Pension Plan during the first nine months of 2018, which completed the Company’s 2018 cash contributions.</w:t>
      </w:r>
    </w:p>
    <w:p>
      <w:pPr>
        <w:spacing w:after="0" w:line="19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Note 11 – </w:t>
      </w:r>
      <w:r>
        <w:rPr>
          <w:rFonts w:ascii="Arial" w:cs="Arial" w:eastAsia="Arial" w:hAnsi="Arial"/>
          <w:sz w:val="22"/>
          <w:szCs w:val="22"/>
          <w:b w:val="1"/>
          <w:bCs w:val="1"/>
          <w:i w:val="1"/>
          <w:iCs w:val="1"/>
          <w:color w:val="auto"/>
        </w:rPr>
        <w:t>Water and Wastewater Rates</w:t>
      </w:r>
    </w:p>
    <w:p>
      <w:pPr>
        <w:spacing w:after="0" w:line="239" w:lineRule="exact"/>
        <w:rPr>
          <w:sz w:val="20"/>
          <w:szCs w:val="20"/>
          <w:color w:val="auto"/>
        </w:rPr>
      </w:pPr>
    </w:p>
    <w:p>
      <w:pPr>
        <w:ind w:right="180"/>
        <w:spacing w:after="0" w:line="282" w:lineRule="auto"/>
        <w:rPr>
          <w:sz w:val="20"/>
          <w:szCs w:val="20"/>
          <w:color w:val="auto"/>
        </w:rPr>
      </w:pPr>
      <w:r>
        <w:rPr>
          <w:rFonts w:ascii="Arial" w:cs="Arial" w:eastAsia="Arial" w:hAnsi="Arial"/>
          <w:sz w:val="19"/>
          <w:szCs w:val="19"/>
          <w:color w:val="auto"/>
        </w:rPr>
        <w:t>During the first nine months of 2018, the Company’s operating divisions in Illinois and Ohio were granted base rate increases designed to increase total operating revenues on an annual basis by $8,640. On April 6, 2018, the base rate case in Illinois was petitioned for a rehearing; however, this petition was denied on April 19, 2018. No appeals were filed and the approved rates are considered final. Further, during the first nine months of 2018, the Company’s operating divisions in Pennsylvania, North Carolina,</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63500</wp:posOffset>
            </wp:positionV>
            <wp:extent cx="6114415" cy="514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114415" cy="51435"/>
                    </a:xfrm>
                    <a:prstGeom prst="rect">
                      <a:avLst/>
                    </a:prstGeom>
                    <a:noFill/>
                  </pic:spPr>
                </pic:pic>
              </a:graphicData>
            </a:graphic>
          </wp:anchor>
        </w:drawing>
      </w:r>
    </w:p>
    <w:p>
      <w:pPr>
        <w:sectPr>
          <w:pgSz w:w="11900" w:h="16838" w:orient="portrait"/>
          <w:cols w:equalWidth="0" w:num="1">
            <w:col w:w="9540"/>
          </w:cols>
          <w:pgMar w:left="1220" w:top="118" w:right="1139" w:bottom="1440" w:gutter="0" w:footer="0" w:header="0"/>
        </w:sectPr>
      </w:pPr>
    </w:p>
    <w:bookmarkStart w:id="24" w:name="page25"/>
    <w:bookmarkEnd w:id="24"/>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AQUA AMERICA, INC. AND SUBSIDIARIES NOTES TO CONSOLIDATED FINANCIAL STATEMENTS (continued) (In thousands of dollars, except per share amounts) (UNAUDITED)</w:t>
      </w:r>
    </w:p>
    <w:p>
      <w:pPr>
        <w:spacing w:after="0" w:line="200" w:lineRule="exact"/>
        <w:rPr>
          <w:sz w:val="20"/>
          <w:szCs w:val="20"/>
          <w:color w:val="auto"/>
        </w:rPr>
      </w:pPr>
    </w:p>
    <w:p>
      <w:pPr>
        <w:spacing w:after="0" w:line="239" w:lineRule="exact"/>
        <w:rPr>
          <w:sz w:val="20"/>
          <w:szCs w:val="20"/>
          <w:color w:val="auto"/>
        </w:rPr>
      </w:pPr>
    </w:p>
    <w:p>
      <w:pPr>
        <w:ind w:right="120"/>
        <w:spacing w:after="0" w:line="235" w:lineRule="auto"/>
        <w:rPr>
          <w:sz w:val="20"/>
          <w:szCs w:val="20"/>
          <w:color w:val="auto"/>
        </w:rPr>
      </w:pPr>
      <w:r>
        <w:rPr>
          <w:rFonts w:ascii="Arial" w:cs="Arial" w:eastAsia="Arial" w:hAnsi="Arial"/>
          <w:sz w:val="22"/>
          <w:szCs w:val="22"/>
          <w:color w:val="auto"/>
        </w:rPr>
        <w:t>and New Jersey received approval to bill infrastructure rehabilitation surcharges designed to increase total operating revenues on an annual basis by $19,366. Additionally, commencing in the second quarter of 2018, due to the decrease in our federal income tax rate from 35% to 21% from the Tax Cuts and Jobs Act (the “TCJA”), the Company’s operating divisions in Texas, New Jersey, Ohio, and Indiana implemented base rate reductions or added credits to customer bills that are estimated to reduce total operating revenues by $7,959 on an annualized basis.</w:t>
      </w:r>
    </w:p>
    <w:p>
      <w:pPr>
        <w:spacing w:after="0" w:line="215" w:lineRule="exact"/>
        <w:rPr>
          <w:sz w:val="20"/>
          <w:szCs w:val="20"/>
          <w:color w:val="auto"/>
        </w:rPr>
      </w:pPr>
    </w:p>
    <w:p>
      <w:pPr>
        <w:ind w:right="200"/>
        <w:spacing w:after="0" w:line="252" w:lineRule="auto"/>
        <w:rPr>
          <w:sz w:val="20"/>
          <w:szCs w:val="20"/>
          <w:color w:val="auto"/>
        </w:rPr>
      </w:pPr>
      <w:r>
        <w:rPr>
          <w:rFonts w:ascii="Arial" w:cs="Arial" w:eastAsia="Arial" w:hAnsi="Arial"/>
          <w:sz w:val="21"/>
          <w:szCs w:val="21"/>
          <w:color w:val="auto"/>
        </w:rPr>
        <w:t>In August 2018, the Company’s operating subsidiary in Pennsylvania filed for a base rate increase in water and wastewater rates for its customers, proposing an aggregate increase of $71,769 in annual revenues. The base rate case is being reviewed by the Pennsylvania Public Utility Commission. The Company expects resolution of the Pennsylvania base rate case in 2019.</w:t>
      </w:r>
    </w:p>
    <w:p>
      <w:pPr>
        <w:spacing w:after="0" w:line="201" w:lineRule="exact"/>
        <w:rPr>
          <w:sz w:val="20"/>
          <w:szCs w:val="20"/>
          <w:color w:val="auto"/>
        </w:rPr>
      </w:pPr>
    </w:p>
    <w:p>
      <w:pPr>
        <w:jc w:val="both"/>
        <w:ind w:right="220"/>
        <w:spacing w:after="0" w:line="258" w:lineRule="auto"/>
        <w:rPr>
          <w:sz w:val="20"/>
          <w:szCs w:val="20"/>
          <w:color w:val="auto"/>
        </w:rPr>
      </w:pPr>
      <w:r>
        <w:rPr>
          <w:rFonts w:ascii="Arial" w:cs="Arial" w:eastAsia="Arial" w:hAnsi="Arial"/>
          <w:sz w:val="21"/>
          <w:szCs w:val="21"/>
          <w:color w:val="auto"/>
        </w:rPr>
        <w:t>In March 2018, the Company’s operating subsidiary in North Carolina filed for a base rate increase in water and wastewater rates for its customers, proposing an aggregate increase of $4,968 in annual revenues. The base rate case is being reviewed by the North Carolina Utilities Commission.</w:t>
      </w:r>
    </w:p>
    <w:p>
      <w:pPr>
        <w:spacing w:after="0" w:line="194" w:lineRule="exact"/>
        <w:rPr>
          <w:sz w:val="20"/>
          <w:szCs w:val="20"/>
          <w:color w:val="auto"/>
        </w:rPr>
      </w:pPr>
    </w:p>
    <w:p>
      <w:pPr>
        <w:ind w:right="40"/>
        <w:spacing w:after="0" w:line="234" w:lineRule="auto"/>
        <w:rPr>
          <w:sz w:val="20"/>
          <w:szCs w:val="20"/>
          <w:color w:val="auto"/>
        </w:rPr>
      </w:pPr>
      <w:r>
        <w:rPr>
          <w:rFonts w:ascii="Arial" w:cs="Arial" w:eastAsia="Arial" w:hAnsi="Arial"/>
          <w:sz w:val="22"/>
          <w:szCs w:val="22"/>
          <w:color w:val="auto"/>
        </w:rPr>
        <w:t>As of February 10, 2018, the Company had been billing interim rates in Virginia, which had a base rate case filing in progress. Because of the TCJA, which reduced our federal income tax rate from 35% to 21%, our Virginia subsidiary reduced its water rate increase request and eliminated its wastewater rate increase request. In May 2018, the rates charged to our Virginia customers reverted to the previous rates, pursuant to a submitted stipulation, and in the second quarter of 2018, $183 of billings already collected was refunded to our Virginia customers. Subsequently, a final order was issued on October 19, 2018 approving the stipulation.</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Note 12 – </w:t>
      </w:r>
      <w:r>
        <w:rPr>
          <w:rFonts w:ascii="Arial" w:cs="Arial" w:eastAsia="Arial" w:hAnsi="Arial"/>
          <w:sz w:val="22"/>
          <w:szCs w:val="22"/>
          <w:b w:val="1"/>
          <w:bCs w:val="1"/>
          <w:i w:val="1"/>
          <w:iCs w:val="1"/>
          <w:color w:val="auto"/>
        </w:rPr>
        <w:t>Taxes Other than Income Taxes</w:t>
      </w: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color w:val="auto"/>
        </w:rPr>
        <w:t>The following table provides the components of taxes other than income taxes:</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8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480" w:type="dxa"/>
            <w:vAlign w:val="bottom"/>
            <w:gridSpan w:val="5"/>
          </w:tcPr>
          <w:p>
            <w:pPr>
              <w:ind w:left="80"/>
              <w:spacing w:after="0"/>
              <w:rPr>
                <w:sz w:val="20"/>
                <w:szCs w:val="20"/>
                <w:color w:val="auto"/>
              </w:rPr>
            </w:pPr>
            <w:r>
              <w:rPr>
                <w:rFonts w:ascii="Arial" w:cs="Arial" w:eastAsia="Arial" w:hAnsi="Arial"/>
                <w:sz w:val="22"/>
                <w:szCs w:val="22"/>
                <w:color w:val="auto"/>
              </w:rPr>
              <w:t>Three Months Ended</w:t>
            </w:r>
          </w:p>
        </w:tc>
        <w:tc>
          <w:tcPr>
            <w:tcW w:w="340" w:type="dxa"/>
            <w:vAlign w:val="bottom"/>
          </w:tcPr>
          <w:p>
            <w:pPr>
              <w:spacing w:after="0"/>
              <w:rPr>
                <w:sz w:val="21"/>
                <w:szCs w:val="21"/>
                <w:color w:val="auto"/>
              </w:rPr>
            </w:pPr>
          </w:p>
        </w:tc>
        <w:tc>
          <w:tcPr>
            <w:tcW w:w="2600" w:type="dxa"/>
            <w:vAlign w:val="bottom"/>
            <w:gridSpan w:val="4"/>
          </w:tcPr>
          <w:p>
            <w:pPr>
              <w:jc w:val="right"/>
              <w:ind w:right="492"/>
              <w:spacing w:after="0"/>
              <w:rPr>
                <w:sz w:val="20"/>
                <w:szCs w:val="20"/>
                <w:color w:val="auto"/>
              </w:rPr>
            </w:pPr>
            <w:r>
              <w:rPr>
                <w:rFonts w:ascii="Arial" w:cs="Arial" w:eastAsia="Arial" w:hAnsi="Arial"/>
                <w:sz w:val="22"/>
                <w:szCs w:val="22"/>
                <w:color w:val="auto"/>
              </w:rPr>
              <w:t>Nine Months Ended</w:t>
            </w:r>
          </w:p>
        </w:tc>
      </w:tr>
      <w:tr>
        <w:trPr>
          <w:trHeight w:val="265"/>
        </w:trPr>
        <w:tc>
          <w:tcPr>
            <w:tcW w:w="38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480" w:type="dxa"/>
            <w:vAlign w:val="bottom"/>
            <w:gridSpan w:val="5"/>
          </w:tcPr>
          <w:p>
            <w:pPr>
              <w:ind w:left="360"/>
              <w:spacing w:after="0"/>
              <w:rPr>
                <w:sz w:val="20"/>
                <w:szCs w:val="20"/>
                <w:color w:val="auto"/>
              </w:rPr>
            </w:pPr>
            <w:r>
              <w:rPr>
                <w:rFonts w:ascii="Arial" w:cs="Arial" w:eastAsia="Arial" w:hAnsi="Arial"/>
                <w:sz w:val="22"/>
                <w:szCs w:val="22"/>
                <w:color w:val="auto"/>
              </w:rPr>
              <w:t>September 30,</w:t>
            </w:r>
          </w:p>
        </w:tc>
        <w:tc>
          <w:tcPr>
            <w:tcW w:w="340" w:type="dxa"/>
            <w:vAlign w:val="bottom"/>
          </w:tcPr>
          <w:p>
            <w:pPr>
              <w:spacing w:after="0"/>
              <w:rPr>
                <w:sz w:val="23"/>
                <w:szCs w:val="23"/>
                <w:color w:val="auto"/>
              </w:rPr>
            </w:pPr>
          </w:p>
        </w:tc>
        <w:tc>
          <w:tcPr>
            <w:tcW w:w="2600" w:type="dxa"/>
            <w:vAlign w:val="bottom"/>
            <w:gridSpan w:val="4"/>
          </w:tcPr>
          <w:p>
            <w:pPr>
              <w:jc w:val="right"/>
              <w:ind w:right="732"/>
              <w:spacing w:after="0"/>
              <w:rPr>
                <w:sz w:val="20"/>
                <w:szCs w:val="20"/>
                <w:color w:val="auto"/>
              </w:rPr>
            </w:pPr>
            <w:r>
              <w:rPr>
                <w:rFonts w:ascii="Arial" w:cs="Arial" w:eastAsia="Arial" w:hAnsi="Arial"/>
                <w:sz w:val="22"/>
                <w:szCs w:val="22"/>
                <w:color w:val="auto"/>
              </w:rPr>
              <w:t>September 30,</w:t>
            </w:r>
          </w:p>
        </w:tc>
      </w:tr>
      <w:tr>
        <w:trPr>
          <w:trHeight w:val="264"/>
        </w:trPr>
        <w:tc>
          <w:tcPr>
            <w:tcW w:w="3820" w:type="dxa"/>
            <w:vAlign w:val="bottom"/>
            <w:tcBorders>
              <w:bottom w:val="single" w:sz="8" w:color="CCEEFF"/>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880" w:type="dxa"/>
            <w:vAlign w:val="bottom"/>
            <w:tcBorders>
              <w:top w:val="single" w:sz="8" w:color="auto"/>
              <w:bottom w:val="single" w:sz="8" w:color="auto"/>
            </w:tcBorders>
          </w:tcPr>
          <w:p>
            <w:pPr>
              <w:ind w:left="80"/>
              <w:spacing w:after="0"/>
              <w:rPr>
                <w:sz w:val="20"/>
                <w:szCs w:val="20"/>
                <w:color w:val="auto"/>
              </w:rPr>
            </w:pPr>
            <w:r>
              <w:rPr>
                <w:rFonts w:ascii="Arial" w:cs="Arial" w:eastAsia="Arial" w:hAnsi="Arial"/>
                <w:sz w:val="22"/>
                <w:szCs w:val="22"/>
                <w:color w:val="auto"/>
              </w:rPr>
              <w:t>2018</w:t>
            </w:r>
          </w:p>
        </w:tc>
        <w:tc>
          <w:tcPr>
            <w:tcW w:w="180" w:type="dxa"/>
            <w:vAlign w:val="bottom"/>
            <w:tcBorders>
              <w:top w:val="single" w:sz="8" w:color="auto"/>
              <w:bottom w:val="single" w:sz="8" w:color="CCEEFF"/>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920" w:type="dxa"/>
            <w:vAlign w:val="bottom"/>
            <w:tcBorders>
              <w:top w:val="single" w:sz="8" w:color="auto"/>
              <w:bottom w:val="single" w:sz="8" w:color="auto"/>
            </w:tcBorders>
          </w:tcPr>
          <w:p>
            <w:pPr>
              <w:jc w:val="right"/>
              <w:ind w:right="272"/>
              <w:spacing w:after="0"/>
              <w:rPr>
                <w:sz w:val="20"/>
                <w:szCs w:val="20"/>
                <w:color w:val="auto"/>
              </w:rPr>
            </w:pPr>
            <w:r>
              <w:rPr>
                <w:rFonts w:ascii="Arial" w:cs="Arial" w:eastAsia="Arial" w:hAnsi="Arial"/>
                <w:sz w:val="22"/>
                <w:szCs w:val="22"/>
                <w:color w:val="auto"/>
              </w:rPr>
              <w:t>2017</w:t>
            </w:r>
          </w:p>
        </w:tc>
        <w:tc>
          <w:tcPr>
            <w:tcW w:w="200" w:type="dxa"/>
            <w:vAlign w:val="bottom"/>
            <w:tcBorders>
              <w:bottom w:val="single" w:sz="8" w:color="CCEEFF"/>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372"/>
              <w:spacing w:after="0"/>
              <w:rPr>
                <w:sz w:val="20"/>
                <w:szCs w:val="20"/>
                <w:color w:val="auto"/>
              </w:rPr>
            </w:pPr>
            <w:r>
              <w:rPr>
                <w:rFonts w:ascii="Arial" w:cs="Arial" w:eastAsia="Arial" w:hAnsi="Arial"/>
                <w:sz w:val="22"/>
                <w:szCs w:val="22"/>
                <w:color w:val="auto"/>
              </w:rPr>
              <w:t>2018</w:t>
            </w:r>
          </w:p>
        </w:tc>
        <w:tc>
          <w:tcPr>
            <w:tcW w:w="200" w:type="dxa"/>
            <w:vAlign w:val="bottom"/>
            <w:tcBorders>
              <w:top w:val="single" w:sz="8" w:color="auto"/>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352"/>
              <w:spacing w:after="0"/>
              <w:rPr>
                <w:sz w:val="20"/>
                <w:szCs w:val="20"/>
                <w:color w:val="auto"/>
              </w:rPr>
            </w:pPr>
            <w:r>
              <w:rPr>
                <w:rFonts w:ascii="Arial" w:cs="Arial" w:eastAsia="Arial" w:hAnsi="Arial"/>
                <w:sz w:val="22"/>
                <w:szCs w:val="22"/>
                <w:color w:val="auto"/>
              </w:rPr>
              <w:t>2017</w:t>
            </w:r>
          </w:p>
        </w:tc>
      </w:tr>
      <w:tr>
        <w:trPr>
          <w:trHeight w:val="237"/>
        </w:trPr>
        <w:tc>
          <w:tcPr>
            <w:tcW w:w="3820" w:type="dxa"/>
            <w:vAlign w:val="bottom"/>
            <w:shd w:val="clear" w:color="auto" w:fill="CCEEFF"/>
          </w:tcPr>
          <w:p>
            <w:pPr>
              <w:spacing w:after="0" w:line="237" w:lineRule="exact"/>
              <w:rPr>
                <w:sz w:val="20"/>
                <w:szCs w:val="20"/>
                <w:color w:val="auto"/>
              </w:rPr>
            </w:pPr>
            <w:r>
              <w:rPr>
                <w:rFonts w:ascii="Arial" w:cs="Arial" w:eastAsia="Arial" w:hAnsi="Arial"/>
                <w:sz w:val="22"/>
                <w:szCs w:val="22"/>
                <w:color w:val="auto"/>
              </w:rPr>
              <w:t>Property</w:t>
            </w:r>
          </w:p>
        </w:tc>
        <w:tc>
          <w:tcPr>
            <w:tcW w:w="300" w:type="dxa"/>
            <w:vAlign w:val="bottom"/>
            <w:shd w:val="clear" w:color="auto" w:fill="CCEEFF"/>
          </w:tcPr>
          <w:p>
            <w:pPr>
              <w:jc w:val="right"/>
              <w:spacing w:after="0" w:line="237" w:lineRule="exact"/>
              <w:rPr>
                <w:sz w:val="20"/>
                <w:szCs w:val="20"/>
                <w:color w:val="auto"/>
              </w:rPr>
            </w:pPr>
            <w:r>
              <w:rPr>
                <w:rFonts w:ascii="Arial" w:cs="Arial" w:eastAsia="Arial" w:hAnsi="Arial"/>
                <w:sz w:val="22"/>
                <w:szCs w:val="22"/>
                <w:color w:val="auto"/>
              </w:rPr>
              <w:t>$</w:t>
            </w:r>
          </w:p>
        </w:tc>
        <w:tc>
          <w:tcPr>
            <w:tcW w:w="880" w:type="dxa"/>
            <w:vAlign w:val="bottom"/>
            <w:shd w:val="clear" w:color="auto" w:fill="CCEEFF"/>
          </w:tcPr>
          <w:p>
            <w:pPr>
              <w:jc w:val="right"/>
              <w:spacing w:after="0" w:line="237" w:lineRule="exact"/>
              <w:rPr>
                <w:sz w:val="20"/>
                <w:szCs w:val="20"/>
                <w:color w:val="auto"/>
              </w:rPr>
            </w:pPr>
            <w:r>
              <w:rPr>
                <w:rFonts w:ascii="Arial" w:cs="Arial" w:eastAsia="Arial" w:hAnsi="Arial"/>
                <w:sz w:val="22"/>
                <w:szCs w:val="22"/>
                <w:color w:val="auto"/>
              </w:rPr>
              <w:t>7,019</w:t>
            </w:r>
          </w:p>
        </w:tc>
        <w:tc>
          <w:tcPr>
            <w:tcW w:w="180" w:type="dxa"/>
            <w:vAlign w:val="bottom"/>
            <w:shd w:val="clear" w:color="auto" w:fill="CCEEFF"/>
          </w:tcPr>
          <w:p>
            <w:pPr>
              <w:spacing w:after="0"/>
              <w:rPr>
                <w:sz w:val="20"/>
                <w:szCs w:val="20"/>
                <w:color w:val="auto"/>
              </w:rPr>
            </w:pPr>
          </w:p>
        </w:tc>
        <w:tc>
          <w:tcPr>
            <w:tcW w:w="300" w:type="dxa"/>
            <w:vAlign w:val="bottom"/>
            <w:shd w:val="clear" w:color="auto" w:fill="CCEEFF"/>
          </w:tcPr>
          <w:p>
            <w:pPr>
              <w:jc w:val="right"/>
              <w:spacing w:after="0" w:line="237" w:lineRule="exact"/>
              <w:rPr>
                <w:sz w:val="20"/>
                <w:szCs w:val="20"/>
                <w:color w:val="auto"/>
              </w:rPr>
            </w:pPr>
            <w:r>
              <w:rPr>
                <w:rFonts w:ascii="Arial" w:cs="Arial" w:eastAsia="Arial" w:hAnsi="Arial"/>
                <w:sz w:val="22"/>
                <w:szCs w:val="22"/>
                <w:color w:val="auto"/>
              </w:rPr>
              <w:t>$</w:t>
            </w:r>
          </w:p>
        </w:tc>
        <w:tc>
          <w:tcPr>
            <w:tcW w:w="920" w:type="dxa"/>
            <w:vAlign w:val="bottom"/>
            <w:shd w:val="clear" w:color="auto" w:fill="CCEEFF"/>
          </w:tcPr>
          <w:p>
            <w:pPr>
              <w:jc w:val="right"/>
              <w:spacing w:after="0" w:line="237" w:lineRule="exact"/>
              <w:rPr>
                <w:sz w:val="20"/>
                <w:szCs w:val="20"/>
                <w:color w:val="auto"/>
              </w:rPr>
            </w:pPr>
            <w:r>
              <w:rPr>
                <w:rFonts w:ascii="Arial" w:cs="Arial" w:eastAsia="Arial" w:hAnsi="Arial"/>
                <w:sz w:val="22"/>
                <w:szCs w:val="22"/>
                <w:color w:val="auto"/>
              </w:rPr>
              <w:t>6,955</w:t>
            </w:r>
          </w:p>
        </w:tc>
        <w:tc>
          <w:tcPr>
            <w:tcW w:w="20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32"/>
              <w:spacing w:after="0" w:line="237" w:lineRule="exact"/>
              <w:rPr>
                <w:sz w:val="20"/>
                <w:szCs w:val="20"/>
                <w:color w:val="auto"/>
              </w:rPr>
            </w:pPr>
            <w:r>
              <w:rPr>
                <w:rFonts w:ascii="Arial" w:cs="Arial" w:eastAsia="Arial" w:hAnsi="Arial"/>
                <w:sz w:val="22"/>
                <w:szCs w:val="22"/>
                <w:color w:val="auto"/>
              </w:rPr>
              <w:t>$</w:t>
            </w:r>
          </w:p>
        </w:tc>
        <w:tc>
          <w:tcPr>
            <w:tcW w:w="1040" w:type="dxa"/>
            <w:vAlign w:val="bottom"/>
            <w:shd w:val="clear" w:color="auto" w:fill="CCEEFF"/>
          </w:tcPr>
          <w:p>
            <w:pPr>
              <w:jc w:val="right"/>
              <w:spacing w:after="0" w:line="237" w:lineRule="exact"/>
              <w:rPr>
                <w:sz w:val="20"/>
                <w:szCs w:val="20"/>
                <w:color w:val="auto"/>
              </w:rPr>
            </w:pPr>
            <w:r>
              <w:rPr>
                <w:rFonts w:ascii="Arial" w:cs="Arial" w:eastAsia="Arial" w:hAnsi="Arial"/>
                <w:sz w:val="22"/>
                <w:szCs w:val="22"/>
                <w:color w:val="auto"/>
              </w:rPr>
              <w:t>20,542</w:t>
            </w:r>
          </w:p>
        </w:tc>
        <w:tc>
          <w:tcPr>
            <w:tcW w:w="20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32"/>
              <w:spacing w:after="0" w:line="237" w:lineRule="exact"/>
              <w:rPr>
                <w:sz w:val="20"/>
                <w:szCs w:val="20"/>
                <w:color w:val="auto"/>
              </w:rPr>
            </w:pPr>
            <w:r>
              <w:rPr>
                <w:rFonts w:ascii="Arial" w:cs="Arial" w:eastAsia="Arial" w:hAnsi="Arial"/>
                <w:sz w:val="22"/>
                <w:szCs w:val="22"/>
                <w:color w:val="auto"/>
              </w:rPr>
              <w:t>$</w:t>
            </w:r>
          </w:p>
        </w:tc>
        <w:tc>
          <w:tcPr>
            <w:tcW w:w="1040" w:type="dxa"/>
            <w:vAlign w:val="bottom"/>
            <w:shd w:val="clear" w:color="auto" w:fill="CCEEFF"/>
          </w:tcPr>
          <w:p>
            <w:pPr>
              <w:jc w:val="right"/>
              <w:spacing w:after="0" w:line="237" w:lineRule="exact"/>
              <w:rPr>
                <w:sz w:val="20"/>
                <w:szCs w:val="20"/>
                <w:color w:val="auto"/>
              </w:rPr>
            </w:pPr>
            <w:r>
              <w:rPr>
                <w:rFonts w:ascii="Arial" w:cs="Arial" w:eastAsia="Arial" w:hAnsi="Arial"/>
                <w:sz w:val="22"/>
                <w:szCs w:val="22"/>
                <w:color w:val="auto"/>
              </w:rPr>
              <w:t>20,608</w:t>
            </w:r>
          </w:p>
        </w:tc>
      </w:tr>
      <w:tr>
        <w:trPr>
          <w:trHeight w:val="243"/>
        </w:trPr>
        <w:tc>
          <w:tcPr>
            <w:tcW w:w="3820" w:type="dxa"/>
            <w:vAlign w:val="bottom"/>
          </w:tcPr>
          <w:p>
            <w:pPr>
              <w:spacing w:after="0" w:line="243" w:lineRule="exact"/>
              <w:rPr>
                <w:sz w:val="20"/>
                <w:szCs w:val="20"/>
                <w:color w:val="auto"/>
              </w:rPr>
            </w:pPr>
            <w:r>
              <w:rPr>
                <w:rFonts w:ascii="Arial" w:cs="Arial" w:eastAsia="Arial" w:hAnsi="Arial"/>
                <w:sz w:val="22"/>
                <w:szCs w:val="22"/>
                <w:color w:val="auto"/>
              </w:rPr>
              <w:t>Gross receipts, excise and franchise</w:t>
            </w:r>
          </w:p>
        </w:tc>
        <w:tc>
          <w:tcPr>
            <w:tcW w:w="300" w:type="dxa"/>
            <w:vAlign w:val="bottom"/>
          </w:tcPr>
          <w:p>
            <w:pPr>
              <w:spacing w:after="0"/>
              <w:rPr>
                <w:sz w:val="21"/>
                <w:szCs w:val="21"/>
                <w:color w:val="auto"/>
              </w:rPr>
            </w:pPr>
          </w:p>
        </w:tc>
        <w:tc>
          <w:tcPr>
            <w:tcW w:w="880" w:type="dxa"/>
            <w:vAlign w:val="bottom"/>
          </w:tcPr>
          <w:p>
            <w:pPr>
              <w:jc w:val="right"/>
              <w:spacing w:after="0" w:line="243" w:lineRule="exact"/>
              <w:rPr>
                <w:sz w:val="20"/>
                <w:szCs w:val="20"/>
                <w:color w:val="auto"/>
              </w:rPr>
            </w:pPr>
            <w:r>
              <w:rPr>
                <w:rFonts w:ascii="Arial" w:cs="Arial" w:eastAsia="Arial" w:hAnsi="Arial"/>
                <w:sz w:val="22"/>
                <w:szCs w:val="22"/>
                <w:color w:val="auto"/>
              </w:rPr>
              <w:t>3,940</w:t>
            </w:r>
          </w:p>
        </w:tc>
        <w:tc>
          <w:tcPr>
            <w:tcW w:w="1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20" w:type="dxa"/>
            <w:vAlign w:val="bottom"/>
          </w:tcPr>
          <w:p>
            <w:pPr>
              <w:jc w:val="right"/>
              <w:spacing w:after="0" w:line="243" w:lineRule="exact"/>
              <w:rPr>
                <w:sz w:val="20"/>
                <w:szCs w:val="20"/>
                <w:color w:val="auto"/>
              </w:rPr>
            </w:pPr>
            <w:r>
              <w:rPr>
                <w:rFonts w:ascii="Arial" w:cs="Arial" w:eastAsia="Arial" w:hAnsi="Arial"/>
                <w:sz w:val="22"/>
                <w:szCs w:val="22"/>
                <w:color w:val="auto"/>
              </w:rPr>
              <w:t>3,969</w:t>
            </w:r>
          </w:p>
        </w:tc>
        <w:tc>
          <w:tcPr>
            <w:tcW w:w="2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40" w:type="dxa"/>
            <w:vAlign w:val="bottom"/>
          </w:tcPr>
          <w:p>
            <w:pPr>
              <w:jc w:val="right"/>
              <w:spacing w:after="0" w:line="243" w:lineRule="exact"/>
              <w:rPr>
                <w:sz w:val="20"/>
                <w:szCs w:val="20"/>
                <w:color w:val="auto"/>
              </w:rPr>
            </w:pPr>
            <w:r>
              <w:rPr>
                <w:rFonts w:ascii="Arial" w:cs="Arial" w:eastAsia="Arial" w:hAnsi="Arial"/>
                <w:sz w:val="22"/>
                <w:szCs w:val="22"/>
                <w:color w:val="auto"/>
              </w:rPr>
              <w:t>10,994</w:t>
            </w:r>
          </w:p>
        </w:tc>
        <w:tc>
          <w:tcPr>
            <w:tcW w:w="2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line="243" w:lineRule="exact"/>
              <w:rPr>
                <w:sz w:val="20"/>
                <w:szCs w:val="20"/>
                <w:color w:val="auto"/>
              </w:rPr>
            </w:pPr>
            <w:r>
              <w:rPr>
                <w:rFonts w:ascii="Arial" w:cs="Arial" w:eastAsia="Arial" w:hAnsi="Arial"/>
                <w:sz w:val="22"/>
                <w:szCs w:val="22"/>
                <w:color w:val="auto"/>
              </w:rPr>
              <w:t>10,507</w:t>
            </w:r>
          </w:p>
        </w:tc>
      </w:tr>
      <w:tr>
        <w:trPr>
          <w:trHeight w:val="243"/>
        </w:trPr>
        <w:tc>
          <w:tcPr>
            <w:tcW w:w="3820" w:type="dxa"/>
            <w:vAlign w:val="bottom"/>
            <w:shd w:val="clear" w:color="auto" w:fill="CCEEFF"/>
          </w:tcPr>
          <w:p>
            <w:pPr>
              <w:spacing w:after="0" w:line="243" w:lineRule="exact"/>
              <w:rPr>
                <w:sz w:val="20"/>
                <w:szCs w:val="20"/>
                <w:color w:val="auto"/>
              </w:rPr>
            </w:pPr>
            <w:r>
              <w:rPr>
                <w:rFonts w:ascii="Arial" w:cs="Arial" w:eastAsia="Arial" w:hAnsi="Arial"/>
                <w:sz w:val="22"/>
                <w:szCs w:val="22"/>
                <w:color w:val="auto"/>
              </w:rPr>
              <w:t>Payroll</w:t>
            </w:r>
          </w:p>
        </w:tc>
        <w:tc>
          <w:tcPr>
            <w:tcW w:w="30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line="243" w:lineRule="exact"/>
              <w:rPr>
                <w:sz w:val="20"/>
                <w:szCs w:val="20"/>
                <w:color w:val="auto"/>
              </w:rPr>
            </w:pPr>
            <w:r>
              <w:rPr>
                <w:rFonts w:ascii="Arial" w:cs="Arial" w:eastAsia="Arial" w:hAnsi="Arial"/>
                <w:sz w:val="22"/>
                <w:szCs w:val="22"/>
                <w:color w:val="auto"/>
              </w:rPr>
              <w:t>2,175</w:t>
            </w:r>
          </w:p>
        </w:tc>
        <w:tc>
          <w:tcPr>
            <w:tcW w:w="18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line="243" w:lineRule="exact"/>
              <w:rPr>
                <w:sz w:val="20"/>
                <w:szCs w:val="20"/>
                <w:color w:val="auto"/>
              </w:rPr>
            </w:pPr>
            <w:r>
              <w:rPr>
                <w:rFonts w:ascii="Arial" w:cs="Arial" w:eastAsia="Arial" w:hAnsi="Arial"/>
                <w:sz w:val="22"/>
                <w:szCs w:val="22"/>
                <w:color w:val="auto"/>
              </w:rPr>
              <w:t>2,066</w:t>
            </w:r>
          </w:p>
        </w:tc>
        <w:tc>
          <w:tcPr>
            <w:tcW w:w="2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line="243" w:lineRule="exact"/>
              <w:rPr>
                <w:sz w:val="20"/>
                <w:szCs w:val="20"/>
                <w:color w:val="auto"/>
              </w:rPr>
            </w:pPr>
            <w:r>
              <w:rPr>
                <w:rFonts w:ascii="Arial" w:cs="Arial" w:eastAsia="Arial" w:hAnsi="Arial"/>
                <w:sz w:val="22"/>
                <w:szCs w:val="22"/>
                <w:color w:val="auto"/>
              </w:rPr>
              <w:t>7,630</w:t>
            </w:r>
          </w:p>
        </w:tc>
        <w:tc>
          <w:tcPr>
            <w:tcW w:w="2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line="243" w:lineRule="exact"/>
              <w:rPr>
                <w:sz w:val="20"/>
                <w:szCs w:val="20"/>
                <w:color w:val="auto"/>
              </w:rPr>
            </w:pPr>
            <w:r>
              <w:rPr>
                <w:rFonts w:ascii="Arial" w:cs="Arial" w:eastAsia="Arial" w:hAnsi="Arial"/>
                <w:sz w:val="22"/>
                <w:szCs w:val="22"/>
                <w:color w:val="auto"/>
              </w:rPr>
              <w:t>7,322</w:t>
            </w:r>
          </w:p>
        </w:tc>
      </w:tr>
      <w:tr>
        <w:trPr>
          <w:trHeight w:val="243"/>
        </w:trPr>
        <w:tc>
          <w:tcPr>
            <w:tcW w:w="3820" w:type="dxa"/>
            <w:vAlign w:val="bottom"/>
          </w:tcPr>
          <w:p>
            <w:pPr>
              <w:spacing w:after="0" w:line="243" w:lineRule="exact"/>
              <w:rPr>
                <w:sz w:val="20"/>
                <w:szCs w:val="20"/>
                <w:color w:val="auto"/>
              </w:rPr>
            </w:pPr>
            <w:r>
              <w:rPr>
                <w:rFonts w:ascii="Arial" w:cs="Arial" w:eastAsia="Arial" w:hAnsi="Arial"/>
                <w:sz w:val="22"/>
                <w:szCs w:val="22"/>
                <w:color w:val="auto"/>
              </w:rPr>
              <w:t>Regulatory assessments</w:t>
            </w:r>
          </w:p>
        </w:tc>
        <w:tc>
          <w:tcPr>
            <w:tcW w:w="300" w:type="dxa"/>
            <w:vAlign w:val="bottom"/>
          </w:tcPr>
          <w:p>
            <w:pPr>
              <w:spacing w:after="0"/>
              <w:rPr>
                <w:sz w:val="21"/>
                <w:szCs w:val="21"/>
                <w:color w:val="auto"/>
              </w:rPr>
            </w:pPr>
          </w:p>
        </w:tc>
        <w:tc>
          <w:tcPr>
            <w:tcW w:w="880" w:type="dxa"/>
            <w:vAlign w:val="bottom"/>
          </w:tcPr>
          <w:p>
            <w:pPr>
              <w:jc w:val="right"/>
              <w:spacing w:after="0" w:line="243" w:lineRule="exact"/>
              <w:rPr>
                <w:sz w:val="20"/>
                <w:szCs w:val="20"/>
                <w:color w:val="auto"/>
              </w:rPr>
            </w:pPr>
            <w:r>
              <w:rPr>
                <w:rFonts w:ascii="Arial" w:cs="Arial" w:eastAsia="Arial" w:hAnsi="Arial"/>
                <w:sz w:val="22"/>
                <w:szCs w:val="22"/>
                <w:color w:val="auto"/>
              </w:rPr>
              <w:t>747</w:t>
            </w:r>
          </w:p>
        </w:tc>
        <w:tc>
          <w:tcPr>
            <w:tcW w:w="1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20" w:type="dxa"/>
            <w:vAlign w:val="bottom"/>
          </w:tcPr>
          <w:p>
            <w:pPr>
              <w:jc w:val="right"/>
              <w:spacing w:after="0" w:line="243" w:lineRule="exact"/>
              <w:rPr>
                <w:sz w:val="20"/>
                <w:szCs w:val="20"/>
                <w:color w:val="auto"/>
              </w:rPr>
            </w:pPr>
            <w:r>
              <w:rPr>
                <w:rFonts w:ascii="Arial" w:cs="Arial" w:eastAsia="Arial" w:hAnsi="Arial"/>
                <w:sz w:val="22"/>
                <w:szCs w:val="22"/>
                <w:color w:val="auto"/>
              </w:rPr>
              <w:t>674</w:t>
            </w:r>
          </w:p>
        </w:tc>
        <w:tc>
          <w:tcPr>
            <w:tcW w:w="2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40" w:type="dxa"/>
            <w:vAlign w:val="bottom"/>
          </w:tcPr>
          <w:p>
            <w:pPr>
              <w:jc w:val="right"/>
              <w:spacing w:after="0" w:line="243" w:lineRule="exact"/>
              <w:rPr>
                <w:sz w:val="20"/>
                <w:szCs w:val="20"/>
                <w:color w:val="auto"/>
              </w:rPr>
            </w:pPr>
            <w:r>
              <w:rPr>
                <w:rFonts w:ascii="Arial" w:cs="Arial" w:eastAsia="Arial" w:hAnsi="Arial"/>
                <w:sz w:val="22"/>
                <w:szCs w:val="22"/>
                <w:color w:val="auto"/>
              </w:rPr>
              <w:t>2,001</w:t>
            </w:r>
          </w:p>
        </w:tc>
        <w:tc>
          <w:tcPr>
            <w:tcW w:w="2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line="243" w:lineRule="exact"/>
              <w:rPr>
                <w:sz w:val="20"/>
                <w:szCs w:val="20"/>
                <w:color w:val="auto"/>
              </w:rPr>
            </w:pPr>
            <w:r>
              <w:rPr>
                <w:rFonts w:ascii="Arial" w:cs="Arial" w:eastAsia="Arial" w:hAnsi="Arial"/>
                <w:sz w:val="22"/>
                <w:szCs w:val="22"/>
                <w:color w:val="auto"/>
              </w:rPr>
              <w:t>1,933</w:t>
            </w:r>
          </w:p>
        </w:tc>
      </w:tr>
      <w:tr>
        <w:trPr>
          <w:trHeight w:val="243"/>
        </w:trPr>
        <w:tc>
          <w:tcPr>
            <w:tcW w:w="3820" w:type="dxa"/>
            <w:vAlign w:val="bottom"/>
            <w:shd w:val="clear" w:color="auto" w:fill="CCEEFF"/>
          </w:tcPr>
          <w:p>
            <w:pPr>
              <w:spacing w:after="0" w:line="243" w:lineRule="exact"/>
              <w:rPr>
                <w:sz w:val="20"/>
                <w:szCs w:val="20"/>
                <w:color w:val="auto"/>
              </w:rPr>
            </w:pPr>
            <w:r>
              <w:rPr>
                <w:rFonts w:ascii="Arial" w:cs="Arial" w:eastAsia="Arial" w:hAnsi="Arial"/>
                <w:sz w:val="22"/>
                <w:szCs w:val="22"/>
                <w:color w:val="auto"/>
              </w:rPr>
              <w:t>Pumping fees</w:t>
            </w:r>
          </w:p>
        </w:tc>
        <w:tc>
          <w:tcPr>
            <w:tcW w:w="30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line="243" w:lineRule="exact"/>
              <w:rPr>
                <w:sz w:val="20"/>
                <w:szCs w:val="20"/>
                <w:color w:val="auto"/>
              </w:rPr>
            </w:pPr>
            <w:r>
              <w:rPr>
                <w:rFonts w:ascii="Arial" w:cs="Arial" w:eastAsia="Arial" w:hAnsi="Arial"/>
                <w:sz w:val="22"/>
                <w:szCs w:val="22"/>
                <w:color w:val="auto"/>
              </w:rPr>
              <w:t>1,599</w:t>
            </w:r>
          </w:p>
        </w:tc>
        <w:tc>
          <w:tcPr>
            <w:tcW w:w="18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line="243" w:lineRule="exact"/>
              <w:rPr>
                <w:sz w:val="20"/>
                <w:szCs w:val="20"/>
                <w:color w:val="auto"/>
              </w:rPr>
            </w:pPr>
            <w:r>
              <w:rPr>
                <w:rFonts w:ascii="Arial" w:cs="Arial" w:eastAsia="Arial" w:hAnsi="Arial"/>
                <w:sz w:val="22"/>
                <w:szCs w:val="22"/>
                <w:color w:val="auto"/>
              </w:rPr>
              <w:t>1,526</w:t>
            </w:r>
          </w:p>
        </w:tc>
        <w:tc>
          <w:tcPr>
            <w:tcW w:w="2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line="243" w:lineRule="exact"/>
              <w:rPr>
                <w:sz w:val="20"/>
                <w:szCs w:val="20"/>
                <w:color w:val="auto"/>
              </w:rPr>
            </w:pPr>
            <w:r>
              <w:rPr>
                <w:rFonts w:ascii="Arial" w:cs="Arial" w:eastAsia="Arial" w:hAnsi="Arial"/>
                <w:sz w:val="22"/>
                <w:szCs w:val="22"/>
                <w:color w:val="auto"/>
              </w:rPr>
              <w:t>4,014</w:t>
            </w:r>
          </w:p>
        </w:tc>
        <w:tc>
          <w:tcPr>
            <w:tcW w:w="2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line="243" w:lineRule="exact"/>
              <w:rPr>
                <w:sz w:val="20"/>
                <w:szCs w:val="20"/>
                <w:color w:val="auto"/>
              </w:rPr>
            </w:pPr>
            <w:r>
              <w:rPr>
                <w:rFonts w:ascii="Arial" w:cs="Arial" w:eastAsia="Arial" w:hAnsi="Arial"/>
                <w:sz w:val="22"/>
                <w:szCs w:val="22"/>
                <w:color w:val="auto"/>
              </w:rPr>
              <w:t>3,820</w:t>
            </w:r>
          </w:p>
        </w:tc>
      </w:tr>
      <w:tr>
        <w:trPr>
          <w:trHeight w:val="243"/>
        </w:trPr>
        <w:tc>
          <w:tcPr>
            <w:tcW w:w="3820" w:type="dxa"/>
            <w:vAlign w:val="bottom"/>
            <w:tcBorders>
              <w:bottom w:val="single" w:sz="8" w:color="CCEEFF"/>
            </w:tcBorders>
          </w:tcPr>
          <w:p>
            <w:pPr>
              <w:spacing w:after="0" w:line="243" w:lineRule="exact"/>
              <w:rPr>
                <w:sz w:val="20"/>
                <w:szCs w:val="20"/>
                <w:color w:val="auto"/>
              </w:rPr>
            </w:pPr>
            <w:r>
              <w:rPr>
                <w:rFonts w:ascii="Arial" w:cs="Arial" w:eastAsia="Arial" w:hAnsi="Arial"/>
                <w:sz w:val="22"/>
                <w:szCs w:val="22"/>
                <w:color w:val="auto"/>
              </w:rPr>
              <w:t>Other</w:t>
            </w:r>
          </w:p>
        </w:tc>
        <w:tc>
          <w:tcPr>
            <w:tcW w:w="30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line="243" w:lineRule="exact"/>
              <w:rPr>
                <w:sz w:val="20"/>
                <w:szCs w:val="20"/>
                <w:color w:val="auto"/>
              </w:rPr>
            </w:pPr>
            <w:r>
              <w:rPr>
                <w:rFonts w:ascii="Arial" w:cs="Arial" w:eastAsia="Arial" w:hAnsi="Arial"/>
                <w:sz w:val="22"/>
                <w:szCs w:val="22"/>
                <w:color w:val="auto"/>
              </w:rPr>
              <w:t>84</w:t>
            </w:r>
          </w:p>
        </w:tc>
        <w:tc>
          <w:tcPr>
            <w:tcW w:w="18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line="243" w:lineRule="exact"/>
              <w:rPr>
                <w:sz w:val="20"/>
                <w:szCs w:val="20"/>
                <w:color w:val="auto"/>
              </w:rPr>
            </w:pPr>
            <w:r>
              <w:rPr>
                <w:rFonts w:ascii="Arial" w:cs="Arial" w:eastAsia="Arial" w:hAnsi="Arial"/>
                <w:sz w:val="22"/>
                <w:szCs w:val="22"/>
                <w:color w:val="auto"/>
              </w:rPr>
              <w:t>44</w:t>
            </w:r>
          </w:p>
        </w:tc>
        <w:tc>
          <w:tcPr>
            <w:tcW w:w="2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line="243" w:lineRule="exact"/>
              <w:rPr>
                <w:sz w:val="20"/>
                <w:szCs w:val="20"/>
                <w:color w:val="auto"/>
              </w:rPr>
            </w:pPr>
            <w:r>
              <w:rPr>
                <w:rFonts w:ascii="Arial" w:cs="Arial" w:eastAsia="Arial" w:hAnsi="Arial"/>
                <w:sz w:val="22"/>
                <w:szCs w:val="22"/>
                <w:color w:val="auto"/>
              </w:rPr>
              <w:t>179</w:t>
            </w:r>
          </w:p>
        </w:tc>
        <w:tc>
          <w:tcPr>
            <w:tcW w:w="20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line="243" w:lineRule="exact"/>
              <w:rPr>
                <w:sz w:val="20"/>
                <w:szCs w:val="20"/>
                <w:color w:val="auto"/>
              </w:rPr>
            </w:pPr>
            <w:r>
              <w:rPr>
                <w:rFonts w:ascii="Arial" w:cs="Arial" w:eastAsia="Arial" w:hAnsi="Arial"/>
                <w:sz w:val="22"/>
                <w:szCs w:val="22"/>
                <w:color w:val="auto"/>
              </w:rPr>
              <w:t>200</w:t>
            </w:r>
          </w:p>
        </w:tc>
      </w:tr>
      <w:tr>
        <w:trPr>
          <w:trHeight w:val="257"/>
        </w:trPr>
        <w:tc>
          <w:tcPr>
            <w:tcW w:w="3820" w:type="dxa"/>
            <w:vAlign w:val="bottom"/>
            <w:tcBorders>
              <w:bottom w:val="single" w:sz="8" w:color="CCEEFF"/>
            </w:tcBorders>
            <w:shd w:val="clear" w:color="auto" w:fill="CCEEFF"/>
          </w:tcPr>
          <w:p>
            <w:pPr>
              <w:spacing w:after="0" w:line="250" w:lineRule="exact"/>
              <w:rPr>
                <w:sz w:val="20"/>
                <w:szCs w:val="20"/>
                <w:color w:val="auto"/>
              </w:rPr>
            </w:pPr>
            <w:r>
              <w:rPr>
                <w:rFonts w:ascii="Arial" w:cs="Arial" w:eastAsia="Arial" w:hAnsi="Arial"/>
                <w:sz w:val="22"/>
                <w:szCs w:val="22"/>
                <w:color w:val="auto"/>
              </w:rPr>
              <w:t>Total taxes other than income</w:t>
            </w:r>
          </w:p>
        </w:tc>
        <w:tc>
          <w:tcPr>
            <w:tcW w:w="300" w:type="dxa"/>
            <w:vAlign w:val="bottom"/>
            <w:tcBorders>
              <w:bottom w:val="single" w:sz="8" w:color="auto"/>
            </w:tcBorders>
            <w:shd w:val="clear" w:color="auto" w:fill="CCEEFF"/>
          </w:tcPr>
          <w:p>
            <w:pPr>
              <w:jc w:val="right"/>
              <w:spacing w:after="0" w:line="250" w:lineRule="exact"/>
              <w:rPr>
                <w:sz w:val="20"/>
                <w:szCs w:val="20"/>
                <w:color w:val="auto"/>
              </w:rPr>
            </w:pPr>
            <w:r>
              <w:rPr>
                <w:rFonts w:ascii="Arial" w:cs="Arial" w:eastAsia="Arial" w:hAnsi="Arial"/>
                <w:sz w:val="22"/>
                <w:szCs w:val="22"/>
                <w:color w:val="auto"/>
              </w:rPr>
              <w:t>$</w:t>
            </w:r>
          </w:p>
        </w:tc>
        <w:tc>
          <w:tcPr>
            <w:tcW w:w="880" w:type="dxa"/>
            <w:vAlign w:val="bottom"/>
            <w:tcBorders>
              <w:bottom w:val="single" w:sz="8" w:color="auto"/>
            </w:tcBorders>
            <w:shd w:val="clear" w:color="auto" w:fill="CCEEFF"/>
          </w:tcPr>
          <w:p>
            <w:pPr>
              <w:jc w:val="right"/>
              <w:spacing w:after="0" w:line="250" w:lineRule="exact"/>
              <w:rPr>
                <w:sz w:val="20"/>
                <w:szCs w:val="20"/>
                <w:color w:val="auto"/>
              </w:rPr>
            </w:pPr>
            <w:r>
              <w:rPr>
                <w:rFonts w:ascii="Arial" w:cs="Arial" w:eastAsia="Arial" w:hAnsi="Arial"/>
                <w:sz w:val="22"/>
                <w:szCs w:val="22"/>
                <w:color w:val="auto"/>
              </w:rPr>
              <w:t>15,564</w:t>
            </w:r>
          </w:p>
        </w:tc>
        <w:tc>
          <w:tcPr>
            <w:tcW w:w="18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spacing w:after="0" w:line="250" w:lineRule="exact"/>
              <w:rPr>
                <w:sz w:val="20"/>
                <w:szCs w:val="20"/>
                <w:color w:val="auto"/>
              </w:rPr>
            </w:pPr>
            <w:r>
              <w:rPr>
                <w:rFonts w:ascii="Arial" w:cs="Arial" w:eastAsia="Arial" w:hAnsi="Arial"/>
                <w:sz w:val="22"/>
                <w:szCs w:val="22"/>
                <w:color w:val="auto"/>
              </w:rPr>
              <w:t>$</w:t>
            </w:r>
          </w:p>
        </w:tc>
        <w:tc>
          <w:tcPr>
            <w:tcW w:w="920" w:type="dxa"/>
            <w:vAlign w:val="bottom"/>
            <w:tcBorders>
              <w:bottom w:val="single" w:sz="8" w:color="auto"/>
            </w:tcBorders>
            <w:shd w:val="clear" w:color="auto" w:fill="CCEEFF"/>
          </w:tcPr>
          <w:p>
            <w:pPr>
              <w:jc w:val="right"/>
              <w:spacing w:after="0" w:line="250" w:lineRule="exact"/>
              <w:rPr>
                <w:sz w:val="20"/>
                <w:szCs w:val="20"/>
                <w:color w:val="auto"/>
              </w:rPr>
            </w:pPr>
            <w:r>
              <w:rPr>
                <w:rFonts w:ascii="Arial" w:cs="Arial" w:eastAsia="Arial" w:hAnsi="Arial"/>
                <w:sz w:val="22"/>
                <w:szCs w:val="22"/>
                <w:color w:val="auto"/>
              </w:rPr>
              <w:t>15,234</w:t>
            </w:r>
          </w:p>
        </w:tc>
        <w:tc>
          <w:tcPr>
            <w:tcW w:w="2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32"/>
              <w:spacing w:after="0" w:line="250" w:lineRule="exact"/>
              <w:rPr>
                <w:sz w:val="20"/>
                <w:szCs w:val="20"/>
                <w:color w:val="auto"/>
              </w:rPr>
            </w:pPr>
            <w:r>
              <w:rPr>
                <w:rFonts w:ascii="Arial" w:cs="Arial" w:eastAsia="Arial" w:hAnsi="Arial"/>
                <w:sz w:val="22"/>
                <w:szCs w:val="22"/>
                <w:color w:val="auto"/>
              </w:rPr>
              <w:t>$</w:t>
            </w:r>
          </w:p>
        </w:tc>
        <w:tc>
          <w:tcPr>
            <w:tcW w:w="1040" w:type="dxa"/>
            <w:vAlign w:val="bottom"/>
            <w:tcBorders>
              <w:bottom w:val="single" w:sz="8" w:color="auto"/>
            </w:tcBorders>
            <w:shd w:val="clear" w:color="auto" w:fill="CCEEFF"/>
          </w:tcPr>
          <w:p>
            <w:pPr>
              <w:jc w:val="right"/>
              <w:spacing w:after="0" w:line="250" w:lineRule="exact"/>
              <w:rPr>
                <w:sz w:val="20"/>
                <w:szCs w:val="20"/>
                <w:color w:val="auto"/>
              </w:rPr>
            </w:pPr>
            <w:r>
              <w:rPr>
                <w:rFonts w:ascii="Arial" w:cs="Arial" w:eastAsia="Arial" w:hAnsi="Arial"/>
                <w:sz w:val="22"/>
                <w:szCs w:val="22"/>
                <w:color w:val="auto"/>
              </w:rPr>
              <w:t>45,360</w:t>
            </w:r>
          </w:p>
        </w:tc>
        <w:tc>
          <w:tcPr>
            <w:tcW w:w="2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32"/>
              <w:spacing w:after="0" w:line="250" w:lineRule="exact"/>
              <w:rPr>
                <w:sz w:val="20"/>
                <w:szCs w:val="20"/>
                <w:color w:val="auto"/>
              </w:rPr>
            </w:pPr>
            <w:r>
              <w:rPr>
                <w:rFonts w:ascii="Arial" w:cs="Arial" w:eastAsia="Arial" w:hAnsi="Arial"/>
                <w:sz w:val="22"/>
                <w:szCs w:val="22"/>
                <w:color w:val="auto"/>
              </w:rPr>
              <w:t>$</w:t>
            </w:r>
          </w:p>
        </w:tc>
        <w:tc>
          <w:tcPr>
            <w:tcW w:w="1040" w:type="dxa"/>
            <w:vAlign w:val="bottom"/>
            <w:tcBorders>
              <w:bottom w:val="single" w:sz="8" w:color="auto"/>
            </w:tcBorders>
            <w:shd w:val="clear" w:color="auto" w:fill="CCEEFF"/>
          </w:tcPr>
          <w:p>
            <w:pPr>
              <w:jc w:val="right"/>
              <w:spacing w:after="0" w:line="250" w:lineRule="exact"/>
              <w:rPr>
                <w:sz w:val="20"/>
                <w:szCs w:val="20"/>
                <w:color w:val="auto"/>
              </w:rPr>
            </w:pPr>
            <w:r>
              <w:rPr>
                <w:rFonts w:ascii="Arial" w:cs="Arial" w:eastAsia="Arial" w:hAnsi="Arial"/>
                <w:sz w:val="22"/>
                <w:szCs w:val="22"/>
                <w:color w:val="auto"/>
              </w:rPr>
              <w:t>44,390</w:t>
            </w:r>
          </w:p>
        </w:tc>
      </w:tr>
    </w:tbl>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Note 13 – </w:t>
      </w:r>
      <w:r>
        <w:rPr>
          <w:rFonts w:ascii="Arial" w:cs="Arial" w:eastAsia="Arial" w:hAnsi="Arial"/>
          <w:sz w:val="22"/>
          <w:szCs w:val="22"/>
          <w:b w:val="1"/>
          <w:bCs w:val="1"/>
          <w:i w:val="1"/>
          <w:iCs w:val="1"/>
          <w:color w:val="auto"/>
        </w:rPr>
        <w:t>Segment Information</w:t>
      </w:r>
    </w:p>
    <w:p>
      <w:pPr>
        <w:spacing w:after="0" w:line="239" w:lineRule="exact"/>
        <w:rPr>
          <w:sz w:val="20"/>
          <w:szCs w:val="20"/>
          <w:color w:val="auto"/>
        </w:rPr>
      </w:pPr>
    </w:p>
    <w:p>
      <w:pPr>
        <w:ind w:right="80"/>
        <w:spacing w:after="0" w:line="282" w:lineRule="auto"/>
        <w:rPr>
          <w:sz w:val="20"/>
          <w:szCs w:val="20"/>
          <w:color w:val="auto"/>
        </w:rPr>
      </w:pPr>
      <w:r>
        <w:rPr>
          <w:rFonts w:ascii="Arial" w:cs="Arial" w:eastAsia="Arial" w:hAnsi="Arial"/>
          <w:sz w:val="19"/>
          <w:szCs w:val="19"/>
          <w:color w:val="auto"/>
        </w:rPr>
        <w:t>The Company has ten operating segments and one reportable segment. The Regulated segment, the Company’s single reportable segment, is comprised of eight operating segments representing its water and wastewater regulated utility companies which are organized by the states where the Company provides water and wastewater services. These operating segments are aggregated into one reportable segment because each of these operating segments has the following similarities: economic</w:t>
      </w:r>
    </w:p>
    <w:p>
      <w:pPr>
        <w:spacing w:after="0" w:line="14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63500</wp:posOffset>
            </wp:positionV>
            <wp:extent cx="6114415" cy="514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114415" cy="51435"/>
                    </a:xfrm>
                    <a:prstGeom prst="rect">
                      <a:avLst/>
                    </a:prstGeom>
                    <a:noFill/>
                  </pic:spPr>
                </pic:pic>
              </a:graphicData>
            </a:graphic>
          </wp:anchor>
        </w:drawing>
      </w:r>
    </w:p>
    <w:p>
      <w:pPr>
        <w:sectPr>
          <w:pgSz w:w="11900" w:h="16838" w:orient="portrait"/>
          <w:cols w:equalWidth="0" w:num="1">
            <w:col w:w="9540"/>
          </w:cols>
          <w:pgMar w:left="1220" w:top="118" w:right="1139" w:bottom="1440" w:gutter="0" w:footer="0" w:header="0"/>
        </w:sectPr>
      </w:pPr>
    </w:p>
    <w:bookmarkStart w:id="25" w:name="page26"/>
    <w:bookmarkEnd w:id="25"/>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AQUA AMERICA, INC. AND SUBSIDIARIES NOTES TO CONSOLIDATED FINANCIAL STATEMENTS (continued) (In thousands of dollars, except per share amounts) (UNAUDITED)</w:t>
      </w:r>
    </w:p>
    <w:p>
      <w:pPr>
        <w:spacing w:after="0" w:line="200" w:lineRule="exact"/>
        <w:rPr>
          <w:sz w:val="20"/>
          <w:szCs w:val="20"/>
          <w:color w:val="auto"/>
        </w:rPr>
      </w:pPr>
    </w:p>
    <w:p>
      <w:pPr>
        <w:spacing w:after="0" w:line="239" w:lineRule="exact"/>
        <w:rPr>
          <w:sz w:val="20"/>
          <w:szCs w:val="20"/>
          <w:color w:val="auto"/>
        </w:rPr>
      </w:pPr>
    </w:p>
    <w:p>
      <w:pPr>
        <w:ind w:right="860"/>
        <w:spacing w:after="0" w:line="251" w:lineRule="auto"/>
        <w:rPr>
          <w:sz w:val="20"/>
          <w:szCs w:val="20"/>
          <w:color w:val="auto"/>
        </w:rPr>
      </w:pPr>
      <w:r>
        <w:rPr>
          <w:rFonts w:ascii="Arial" w:cs="Arial" w:eastAsia="Arial" w:hAnsi="Arial"/>
          <w:sz w:val="22"/>
          <w:szCs w:val="22"/>
          <w:color w:val="auto"/>
        </w:rPr>
        <w:t>characteristics, nature of services, production processes, customers, water distribution or wastewater collection methods, and the nature of the regulatory environment.</w:t>
      </w:r>
    </w:p>
    <w:p>
      <w:pPr>
        <w:spacing w:after="0" w:line="187" w:lineRule="exact"/>
        <w:rPr>
          <w:sz w:val="20"/>
          <w:szCs w:val="20"/>
          <w:color w:val="auto"/>
        </w:rPr>
      </w:pPr>
    </w:p>
    <w:p>
      <w:pPr>
        <w:ind w:right="40"/>
        <w:spacing w:after="0" w:line="274" w:lineRule="auto"/>
        <w:rPr>
          <w:sz w:val="20"/>
          <w:szCs w:val="20"/>
          <w:color w:val="auto"/>
        </w:rPr>
      </w:pPr>
      <w:r>
        <w:rPr>
          <w:rFonts w:ascii="Arial" w:cs="Arial" w:eastAsia="Arial" w:hAnsi="Arial"/>
          <w:sz w:val="19"/>
          <w:szCs w:val="19"/>
          <w:color w:val="auto"/>
        </w:rPr>
        <w:t>Two operating segments are included within the Other category below. These segments are not quantitatively significant and are comprised of Aqua Infrastructure and Aqua Resources. Aqua Infrastructure provides non-utility raw water supply services for firms in the natural gas drilling industry. Aqua Resources provides water and wastewater service through operating and maintenance contracts with municipal authorities and other parties close to its utility companies’ service territories; and offers, through a third-party, water and sewer service line protection solutions and repair services to households. In addition to these segments, Other is comprised of other business activities not included in the reportable segment, including corporate costs that have not been allocated to the Regulated segment and intersegment eliminations. Corporate costs include general and administrative expenses, and interest expense.</w:t>
      </w:r>
    </w:p>
    <w:p>
      <w:pPr>
        <w:spacing w:after="0" w:line="186" w:lineRule="exact"/>
        <w:rPr>
          <w:sz w:val="20"/>
          <w:szCs w:val="20"/>
          <w:color w:val="auto"/>
        </w:rPr>
      </w:pPr>
    </w:p>
    <w:p>
      <w:pPr>
        <w:spacing w:after="0"/>
        <w:rPr>
          <w:sz w:val="20"/>
          <w:szCs w:val="20"/>
          <w:color w:val="auto"/>
        </w:rPr>
      </w:pPr>
      <w:r>
        <w:rPr>
          <w:rFonts w:ascii="Arial" w:cs="Arial" w:eastAsia="Arial" w:hAnsi="Arial"/>
          <w:sz w:val="22"/>
          <w:szCs w:val="22"/>
          <w:color w:val="auto"/>
        </w:rPr>
        <w:t>The following table presents information about the Company’s reportable segment:</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3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300" w:type="dxa"/>
            <w:vAlign w:val="bottom"/>
            <w:gridSpan w:val="4"/>
          </w:tcPr>
          <w:p>
            <w:pPr>
              <w:jc w:val="center"/>
              <w:spacing w:after="0"/>
              <w:rPr>
                <w:sz w:val="20"/>
                <w:szCs w:val="20"/>
                <w:color w:val="auto"/>
              </w:rPr>
            </w:pPr>
            <w:r>
              <w:rPr>
                <w:rFonts w:ascii="Arial" w:cs="Arial" w:eastAsia="Arial" w:hAnsi="Arial"/>
                <w:sz w:val="14"/>
                <w:szCs w:val="14"/>
                <w:color w:val="auto"/>
                <w:w w:val="93"/>
              </w:rPr>
              <w:t>Three Months Ended</w:t>
            </w: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20" w:type="dxa"/>
            <w:vAlign w:val="bottom"/>
            <w:gridSpan w:val="4"/>
          </w:tcPr>
          <w:p>
            <w:pPr>
              <w:jc w:val="center"/>
              <w:spacing w:after="0"/>
              <w:rPr>
                <w:sz w:val="20"/>
                <w:szCs w:val="20"/>
                <w:color w:val="auto"/>
              </w:rPr>
            </w:pPr>
            <w:r>
              <w:rPr>
                <w:rFonts w:ascii="Arial" w:cs="Arial" w:eastAsia="Arial" w:hAnsi="Arial"/>
                <w:sz w:val="14"/>
                <w:szCs w:val="14"/>
                <w:color w:val="auto"/>
                <w:w w:val="93"/>
              </w:rPr>
              <w:t>Three Months Ended</w:t>
            </w:r>
          </w:p>
        </w:tc>
        <w:tc>
          <w:tcPr>
            <w:tcW w:w="280" w:type="dxa"/>
            <w:vAlign w:val="bottom"/>
          </w:tcPr>
          <w:p>
            <w:pPr>
              <w:spacing w:after="0"/>
              <w:rPr>
                <w:sz w:val="15"/>
                <w:szCs w:val="15"/>
                <w:color w:val="auto"/>
              </w:rPr>
            </w:pPr>
          </w:p>
        </w:tc>
        <w:tc>
          <w:tcPr>
            <w:tcW w:w="620" w:type="dxa"/>
            <w:vAlign w:val="bottom"/>
          </w:tcPr>
          <w:p>
            <w:pPr>
              <w:spacing w:after="0"/>
              <w:rPr>
                <w:sz w:val="15"/>
                <w:szCs w:val="15"/>
                <w:color w:val="auto"/>
              </w:rPr>
            </w:pPr>
          </w:p>
        </w:tc>
      </w:tr>
      <w:tr>
        <w:trPr>
          <w:trHeight w:val="228"/>
        </w:trPr>
        <w:tc>
          <w:tcPr>
            <w:tcW w:w="31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color w:val="auto"/>
                <w:w w:val="91"/>
              </w:rPr>
              <w:t>September 30, 2018</w:t>
            </w:r>
          </w:p>
        </w:tc>
        <w:tc>
          <w:tcPr>
            <w:tcW w:w="3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color w:val="auto"/>
                <w:w w:val="89"/>
              </w:rPr>
              <w:t>September 30, 2017</w:t>
            </w:r>
          </w:p>
        </w:tc>
        <w:tc>
          <w:tcPr>
            <w:tcW w:w="2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r>
      <w:tr>
        <w:trPr>
          <w:trHeight w:val="183"/>
        </w:trPr>
        <w:tc>
          <w:tcPr>
            <w:tcW w:w="318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w w:val="90"/>
              </w:rPr>
              <w:t>Regulated</w:t>
            </w:r>
          </w:p>
        </w:tc>
        <w:tc>
          <w:tcPr>
            <w:tcW w:w="18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center"/>
              <w:ind w:right="168"/>
              <w:spacing w:after="0"/>
              <w:rPr>
                <w:sz w:val="20"/>
                <w:szCs w:val="20"/>
                <w:color w:val="auto"/>
              </w:rPr>
            </w:pPr>
            <w:r>
              <w:rPr>
                <w:rFonts w:ascii="Arial" w:cs="Arial" w:eastAsia="Arial" w:hAnsi="Arial"/>
                <w:sz w:val="14"/>
                <w:szCs w:val="14"/>
                <w:color w:val="auto"/>
                <w:w w:val="91"/>
              </w:rPr>
              <w:t>Other</w:t>
            </w:r>
          </w:p>
        </w:tc>
        <w:tc>
          <w:tcPr>
            <w:tcW w:w="180" w:type="dxa"/>
            <w:vAlign w:val="bottom"/>
            <w:tcBorders>
              <w:bottom w:val="single" w:sz="8" w:color="CCEEFF"/>
            </w:tcBorders>
          </w:tcPr>
          <w:p>
            <w:pPr>
              <w:spacing w:after="0"/>
              <w:rPr>
                <w:sz w:val="15"/>
                <w:szCs w:val="15"/>
                <w:color w:val="auto"/>
              </w:rPr>
            </w:pPr>
          </w:p>
        </w:tc>
        <w:tc>
          <w:tcPr>
            <w:tcW w:w="94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color w:val="auto"/>
              </w:rPr>
              <w:t>Consolidated</w:t>
            </w:r>
          </w:p>
        </w:tc>
        <w:tc>
          <w:tcPr>
            <w:tcW w:w="16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w w:val="87"/>
              </w:rPr>
              <w:t>Regulated</w:t>
            </w:r>
          </w:p>
        </w:tc>
        <w:tc>
          <w:tcPr>
            <w:tcW w:w="16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center"/>
              <w:ind w:right="148"/>
              <w:spacing w:after="0"/>
              <w:rPr>
                <w:sz w:val="20"/>
                <w:szCs w:val="20"/>
                <w:color w:val="auto"/>
              </w:rPr>
            </w:pPr>
            <w:r>
              <w:rPr>
                <w:rFonts w:ascii="Arial" w:cs="Arial" w:eastAsia="Arial" w:hAnsi="Arial"/>
                <w:sz w:val="14"/>
                <w:szCs w:val="14"/>
                <w:color w:val="auto"/>
                <w:w w:val="96"/>
              </w:rPr>
              <w:t>Other</w:t>
            </w:r>
          </w:p>
        </w:tc>
        <w:tc>
          <w:tcPr>
            <w:tcW w:w="160" w:type="dxa"/>
            <w:vAlign w:val="bottom"/>
            <w:tcBorders>
              <w:bottom w:val="single" w:sz="8" w:color="CCEEFF"/>
            </w:tcBorders>
          </w:tcPr>
          <w:p>
            <w:pPr>
              <w:spacing w:after="0"/>
              <w:rPr>
                <w:sz w:val="15"/>
                <w:szCs w:val="15"/>
                <w:color w:val="auto"/>
              </w:rPr>
            </w:pPr>
          </w:p>
        </w:tc>
        <w:tc>
          <w:tcPr>
            <w:tcW w:w="90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color w:val="auto"/>
                <w:w w:val="97"/>
              </w:rPr>
              <w:t>Consolidated</w:t>
            </w:r>
          </w:p>
        </w:tc>
      </w:tr>
      <w:tr>
        <w:trPr>
          <w:trHeight w:val="183"/>
        </w:trPr>
        <w:tc>
          <w:tcPr>
            <w:tcW w:w="3180" w:type="dxa"/>
            <w:vAlign w:val="bottom"/>
            <w:shd w:val="clear" w:color="auto" w:fill="CCEEFF"/>
          </w:tcPr>
          <w:p>
            <w:pPr>
              <w:spacing w:after="0"/>
              <w:rPr>
                <w:sz w:val="20"/>
                <w:szCs w:val="20"/>
                <w:color w:val="auto"/>
              </w:rPr>
            </w:pPr>
            <w:r>
              <w:rPr>
                <w:rFonts w:ascii="Arial" w:cs="Arial" w:eastAsia="Arial" w:hAnsi="Arial"/>
                <w:sz w:val="14"/>
                <w:szCs w:val="14"/>
                <w:color w:val="auto"/>
              </w:rPr>
              <w:t>Operating revenues</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225,361</w:t>
            </w:r>
          </w:p>
        </w:tc>
        <w:tc>
          <w:tcPr>
            <w:tcW w:w="44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776</w:t>
            </w:r>
          </w:p>
        </w:tc>
        <w:tc>
          <w:tcPr>
            <w:tcW w:w="180" w:type="dxa"/>
            <w:vAlign w:val="bottom"/>
            <w:shd w:val="clear" w:color="auto" w:fill="CCEEFF"/>
          </w:tcPr>
          <w:p>
            <w:pPr>
              <w:spacing w:after="0"/>
              <w:rPr>
                <w:sz w:val="15"/>
                <w:szCs w:val="15"/>
                <w:color w:val="auto"/>
              </w:rPr>
            </w:pPr>
          </w:p>
        </w:tc>
        <w:tc>
          <w:tcPr>
            <w:tcW w:w="300" w:type="dxa"/>
            <w:vAlign w:val="bottom"/>
            <w:shd w:val="clear" w:color="auto" w:fill="CCEEFF"/>
          </w:tcPr>
          <w:p>
            <w:pPr>
              <w:ind w:left="100"/>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226,137</w:t>
            </w:r>
          </w:p>
        </w:tc>
        <w:tc>
          <w:tcPr>
            <w:tcW w:w="160" w:type="dxa"/>
            <w:vAlign w:val="bottom"/>
            <w:shd w:val="clear" w:color="auto" w:fill="CCEEFF"/>
          </w:tcPr>
          <w:p>
            <w:pPr>
              <w:spacing w:after="0"/>
              <w:rPr>
                <w:sz w:val="15"/>
                <w:szCs w:val="15"/>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214,032</w:t>
            </w:r>
          </w:p>
        </w:tc>
        <w:tc>
          <w:tcPr>
            <w:tcW w:w="3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976</w:t>
            </w:r>
          </w:p>
        </w:tc>
        <w:tc>
          <w:tcPr>
            <w:tcW w:w="160" w:type="dxa"/>
            <w:vAlign w:val="bottom"/>
            <w:shd w:val="clear" w:color="auto" w:fill="CCEEFF"/>
          </w:tcPr>
          <w:p>
            <w:pPr>
              <w:spacing w:after="0"/>
              <w:rPr>
                <w:sz w:val="15"/>
                <w:szCs w:val="15"/>
                <w:color w:val="auto"/>
              </w:rPr>
            </w:pPr>
          </w:p>
        </w:tc>
        <w:tc>
          <w:tcPr>
            <w:tcW w:w="280" w:type="dxa"/>
            <w:vAlign w:val="bottom"/>
            <w:shd w:val="clear" w:color="auto" w:fill="CCEEFF"/>
          </w:tcPr>
          <w:p>
            <w:pPr>
              <w:ind w:left="100"/>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215,008</w:t>
            </w:r>
          </w:p>
        </w:tc>
      </w:tr>
      <w:tr>
        <w:trPr>
          <w:trHeight w:val="203"/>
        </w:trPr>
        <w:tc>
          <w:tcPr>
            <w:tcW w:w="3180" w:type="dxa"/>
            <w:vAlign w:val="bottom"/>
          </w:tcPr>
          <w:p>
            <w:pPr>
              <w:spacing w:after="0"/>
              <w:rPr>
                <w:sz w:val="20"/>
                <w:szCs w:val="20"/>
                <w:color w:val="auto"/>
              </w:rPr>
            </w:pPr>
            <w:r>
              <w:rPr>
                <w:rFonts w:ascii="Arial" w:cs="Arial" w:eastAsia="Arial" w:hAnsi="Arial"/>
                <w:sz w:val="14"/>
                <w:szCs w:val="14"/>
                <w:color w:val="auto"/>
              </w:rPr>
              <w:t>Operations and maintenance expense</w:t>
            </w:r>
          </w:p>
        </w:tc>
        <w:tc>
          <w:tcPr>
            <w:tcW w:w="16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68,964</w:t>
            </w: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4"/>
                <w:szCs w:val="14"/>
                <w:color w:val="auto"/>
              </w:rPr>
              <w:t>(340)</w:t>
            </w:r>
          </w:p>
        </w:tc>
        <w:tc>
          <w:tcPr>
            <w:tcW w:w="30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68,624</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69,534</w:t>
            </w: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4"/>
                <w:szCs w:val="14"/>
                <w:color w:val="auto"/>
              </w:rPr>
              <w:t>(2,790)</w:t>
            </w:r>
          </w:p>
        </w:tc>
        <w:tc>
          <w:tcPr>
            <w:tcW w:w="28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66,744</w:t>
            </w:r>
          </w:p>
        </w:tc>
      </w:tr>
      <w:tr>
        <w:trPr>
          <w:trHeight w:val="203"/>
        </w:trPr>
        <w:tc>
          <w:tcPr>
            <w:tcW w:w="3180" w:type="dxa"/>
            <w:vAlign w:val="bottom"/>
            <w:shd w:val="clear" w:color="auto" w:fill="CCEEFF"/>
          </w:tcPr>
          <w:p>
            <w:pPr>
              <w:spacing w:after="0"/>
              <w:rPr>
                <w:sz w:val="20"/>
                <w:szCs w:val="20"/>
                <w:color w:val="auto"/>
              </w:rPr>
            </w:pPr>
            <w:r>
              <w:rPr>
                <w:rFonts w:ascii="Arial" w:cs="Arial" w:eastAsia="Arial" w:hAnsi="Arial"/>
                <w:sz w:val="14"/>
                <w:szCs w:val="14"/>
                <w:color w:val="auto"/>
              </w:rPr>
              <w:t>Depreciation</w:t>
            </w: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37,449</w:t>
            </w:r>
          </w:p>
        </w:tc>
        <w:tc>
          <w:tcPr>
            <w:tcW w:w="1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w:t>
            </w:r>
          </w:p>
        </w:tc>
        <w:tc>
          <w:tcPr>
            <w:tcW w:w="1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37,457</w:t>
            </w: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34,533</w:t>
            </w: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(269)</w:t>
            </w:r>
          </w:p>
        </w:tc>
        <w:tc>
          <w:tcPr>
            <w:tcW w:w="28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34,264</w:t>
            </w:r>
          </w:p>
        </w:tc>
      </w:tr>
      <w:tr>
        <w:trPr>
          <w:trHeight w:val="203"/>
        </w:trPr>
        <w:tc>
          <w:tcPr>
            <w:tcW w:w="3180" w:type="dxa"/>
            <w:vAlign w:val="bottom"/>
          </w:tcPr>
          <w:p>
            <w:pPr>
              <w:spacing w:after="0"/>
              <w:rPr>
                <w:sz w:val="20"/>
                <w:szCs w:val="20"/>
                <w:color w:val="auto"/>
              </w:rPr>
            </w:pPr>
            <w:r>
              <w:rPr>
                <w:rFonts w:ascii="Arial" w:cs="Arial" w:eastAsia="Arial" w:hAnsi="Arial"/>
                <w:sz w:val="14"/>
                <w:szCs w:val="14"/>
                <w:color w:val="auto"/>
              </w:rPr>
              <w:t>Amortization</w:t>
            </w:r>
          </w:p>
        </w:tc>
        <w:tc>
          <w:tcPr>
            <w:tcW w:w="16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136</w:t>
            </w: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63</w:t>
            </w:r>
          </w:p>
        </w:tc>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199</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60</w:t>
            </w: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4"/>
                <w:szCs w:val="14"/>
                <w:color w:val="auto"/>
              </w:rPr>
              <w:t>(18)</w:t>
            </w:r>
          </w:p>
        </w:tc>
        <w:tc>
          <w:tcPr>
            <w:tcW w:w="28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42</w:t>
            </w:r>
          </w:p>
        </w:tc>
      </w:tr>
      <w:tr>
        <w:trPr>
          <w:trHeight w:val="203"/>
        </w:trPr>
        <w:tc>
          <w:tcPr>
            <w:tcW w:w="3180" w:type="dxa"/>
            <w:vAlign w:val="bottom"/>
            <w:shd w:val="clear" w:color="auto" w:fill="CCEEFF"/>
          </w:tcPr>
          <w:p>
            <w:pPr>
              <w:spacing w:after="0"/>
              <w:rPr>
                <w:sz w:val="20"/>
                <w:szCs w:val="20"/>
                <w:color w:val="auto"/>
              </w:rPr>
            </w:pPr>
            <w:r>
              <w:rPr>
                <w:rFonts w:ascii="Arial" w:cs="Arial" w:eastAsia="Arial" w:hAnsi="Arial"/>
                <w:sz w:val="14"/>
                <w:szCs w:val="14"/>
                <w:color w:val="auto"/>
              </w:rPr>
              <w:t>Operating income</w:t>
            </w: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103,674</w:t>
            </w:r>
          </w:p>
        </w:tc>
        <w:tc>
          <w:tcPr>
            <w:tcW w:w="1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619</w:t>
            </w:r>
          </w:p>
        </w:tc>
        <w:tc>
          <w:tcPr>
            <w:tcW w:w="1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104,293</w:t>
            </w: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95,380</w:t>
            </w: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3,344</w:t>
            </w:r>
          </w:p>
        </w:tc>
        <w:tc>
          <w:tcPr>
            <w:tcW w:w="1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98,724</w:t>
            </w:r>
          </w:p>
        </w:tc>
      </w:tr>
      <w:tr>
        <w:trPr>
          <w:trHeight w:val="203"/>
        </w:trPr>
        <w:tc>
          <w:tcPr>
            <w:tcW w:w="3180" w:type="dxa"/>
            <w:vAlign w:val="bottom"/>
          </w:tcPr>
          <w:p>
            <w:pPr>
              <w:spacing w:after="0"/>
              <w:rPr>
                <w:sz w:val="20"/>
                <w:szCs w:val="20"/>
                <w:color w:val="auto"/>
              </w:rPr>
            </w:pPr>
            <w:r>
              <w:rPr>
                <w:rFonts w:ascii="Arial" w:cs="Arial" w:eastAsia="Arial" w:hAnsi="Arial"/>
                <w:sz w:val="14"/>
                <w:szCs w:val="14"/>
                <w:color w:val="auto"/>
              </w:rPr>
              <w:t>Interest expense, net</w:t>
            </w:r>
          </w:p>
        </w:tc>
        <w:tc>
          <w:tcPr>
            <w:tcW w:w="16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22,689</w:t>
            </w: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2,670</w:t>
            </w:r>
          </w:p>
        </w:tc>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25,359</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20,753</w:t>
            </w: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1,658</w:t>
            </w: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22,411</w:t>
            </w:r>
          </w:p>
        </w:tc>
      </w:tr>
      <w:tr>
        <w:trPr>
          <w:trHeight w:val="203"/>
        </w:trPr>
        <w:tc>
          <w:tcPr>
            <w:tcW w:w="3180" w:type="dxa"/>
            <w:vAlign w:val="bottom"/>
            <w:shd w:val="clear" w:color="auto" w:fill="CCEEFF"/>
          </w:tcPr>
          <w:p>
            <w:pPr>
              <w:spacing w:after="0"/>
              <w:rPr>
                <w:sz w:val="20"/>
                <w:szCs w:val="20"/>
                <w:color w:val="auto"/>
              </w:rPr>
            </w:pPr>
            <w:r>
              <w:rPr>
                <w:rFonts w:ascii="Arial" w:cs="Arial" w:eastAsia="Arial" w:hAnsi="Arial"/>
                <w:sz w:val="14"/>
                <w:szCs w:val="14"/>
                <w:color w:val="auto"/>
              </w:rPr>
              <w:t>Allowance for funds used during construction</w:t>
            </w: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3,066</w:t>
            </w:r>
          </w:p>
        </w:tc>
        <w:tc>
          <w:tcPr>
            <w:tcW w:w="1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3,066</w:t>
            </w: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3,914</w:t>
            </w: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3,914</w:t>
            </w:r>
          </w:p>
        </w:tc>
      </w:tr>
      <w:tr>
        <w:trPr>
          <w:trHeight w:val="203"/>
        </w:trPr>
        <w:tc>
          <w:tcPr>
            <w:tcW w:w="3180" w:type="dxa"/>
            <w:vAlign w:val="bottom"/>
          </w:tcPr>
          <w:p>
            <w:pPr>
              <w:spacing w:after="0"/>
              <w:rPr>
                <w:sz w:val="20"/>
                <w:szCs w:val="20"/>
                <w:color w:val="auto"/>
              </w:rPr>
            </w:pPr>
            <w:r>
              <w:rPr>
                <w:rFonts w:ascii="Arial" w:cs="Arial" w:eastAsia="Arial" w:hAnsi="Arial"/>
                <w:sz w:val="14"/>
                <w:szCs w:val="14"/>
                <w:color w:val="auto"/>
              </w:rPr>
              <w:t>Provision for income taxes</w:t>
            </w:r>
          </w:p>
        </w:tc>
        <w:tc>
          <w:tcPr>
            <w:tcW w:w="16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4,347</w:t>
            </w: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4"/>
                <w:szCs w:val="14"/>
                <w:color w:val="auto"/>
              </w:rPr>
              <w:t>(412)</w:t>
            </w:r>
          </w:p>
        </w:tc>
        <w:tc>
          <w:tcPr>
            <w:tcW w:w="30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3,935</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3,138</w:t>
            </w: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262</w:t>
            </w: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3,400</w:t>
            </w:r>
          </w:p>
        </w:tc>
      </w:tr>
      <w:tr>
        <w:trPr>
          <w:trHeight w:val="203"/>
        </w:trPr>
        <w:tc>
          <w:tcPr>
            <w:tcW w:w="3180" w:type="dxa"/>
            <w:vAlign w:val="bottom"/>
            <w:shd w:val="clear" w:color="auto" w:fill="CCEEFF"/>
          </w:tcPr>
          <w:p>
            <w:pPr>
              <w:spacing w:after="0"/>
              <w:rPr>
                <w:sz w:val="20"/>
                <w:szCs w:val="20"/>
                <w:color w:val="auto"/>
              </w:rPr>
            </w:pPr>
            <w:r>
              <w:rPr>
                <w:rFonts w:ascii="Arial" w:cs="Arial" w:eastAsia="Arial" w:hAnsi="Arial"/>
                <w:sz w:val="14"/>
                <w:szCs w:val="14"/>
                <w:color w:val="auto"/>
              </w:rPr>
              <w:t>Net income (loss)</w:t>
            </w: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80,126</w:t>
            </w:r>
          </w:p>
        </w:tc>
        <w:tc>
          <w:tcPr>
            <w:tcW w:w="1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(1,910)</w:t>
            </w:r>
          </w:p>
        </w:tc>
        <w:tc>
          <w:tcPr>
            <w:tcW w:w="30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78,216</w:t>
            </w: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74,208</w:t>
            </w: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2,017</w:t>
            </w:r>
          </w:p>
        </w:tc>
        <w:tc>
          <w:tcPr>
            <w:tcW w:w="1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76,225</w:t>
            </w:r>
          </w:p>
        </w:tc>
      </w:tr>
      <w:tr>
        <w:trPr>
          <w:trHeight w:val="420"/>
        </w:trPr>
        <w:tc>
          <w:tcPr>
            <w:tcW w:w="3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300" w:type="dxa"/>
            <w:vAlign w:val="bottom"/>
            <w:gridSpan w:val="4"/>
          </w:tcPr>
          <w:p>
            <w:pPr>
              <w:jc w:val="center"/>
              <w:spacing w:after="0"/>
              <w:rPr>
                <w:sz w:val="20"/>
                <w:szCs w:val="20"/>
                <w:color w:val="auto"/>
              </w:rPr>
            </w:pPr>
            <w:r>
              <w:rPr>
                <w:rFonts w:ascii="Arial" w:cs="Arial" w:eastAsia="Arial" w:hAnsi="Arial"/>
                <w:sz w:val="14"/>
                <w:szCs w:val="14"/>
                <w:color w:val="auto"/>
                <w:w w:val="94"/>
              </w:rPr>
              <w:t>Nine Months Ended</w:t>
            </w:r>
          </w:p>
        </w:tc>
        <w:tc>
          <w:tcPr>
            <w:tcW w:w="3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20" w:type="dxa"/>
            <w:vAlign w:val="bottom"/>
            <w:gridSpan w:val="4"/>
          </w:tcPr>
          <w:p>
            <w:pPr>
              <w:jc w:val="center"/>
              <w:ind w:right="20"/>
              <w:spacing w:after="0"/>
              <w:rPr>
                <w:sz w:val="20"/>
                <w:szCs w:val="20"/>
                <w:color w:val="auto"/>
              </w:rPr>
            </w:pPr>
            <w:r>
              <w:rPr>
                <w:rFonts w:ascii="Arial" w:cs="Arial" w:eastAsia="Arial" w:hAnsi="Arial"/>
                <w:sz w:val="14"/>
                <w:szCs w:val="14"/>
                <w:color w:val="auto"/>
                <w:w w:val="94"/>
              </w:rPr>
              <w:t>Nine Months Ended</w:t>
            </w:r>
          </w:p>
        </w:tc>
        <w:tc>
          <w:tcPr>
            <w:tcW w:w="28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188"/>
        </w:trPr>
        <w:tc>
          <w:tcPr>
            <w:tcW w:w="31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color w:val="auto"/>
                <w:w w:val="91"/>
              </w:rPr>
              <w:t>September 30, 2018</w:t>
            </w:r>
          </w:p>
        </w:tc>
        <w:tc>
          <w:tcPr>
            <w:tcW w:w="30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color w:val="auto"/>
                <w:w w:val="89"/>
              </w:rPr>
              <w:t>September 30, 2017</w:t>
            </w:r>
          </w:p>
        </w:tc>
        <w:tc>
          <w:tcPr>
            <w:tcW w:w="28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r>
      <w:tr>
        <w:trPr>
          <w:trHeight w:val="183"/>
        </w:trPr>
        <w:tc>
          <w:tcPr>
            <w:tcW w:w="318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w w:val="90"/>
              </w:rPr>
              <w:t>Regulated</w:t>
            </w:r>
          </w:p>
        </w:tc>
        <w:tc>
          <w:tcPr>
            <w:tcW w:w="18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center"/>
              <w:ind w:right="168"/>
              <w:spacing w:after="0"/>
              <w:rPr>
                <w:sz w:val="20"/>
                <w:szCs w:val="20"/>
                <w:color w:val="auto"/>
              </w:rPr>
            </w:pPr>
            <w:r>
              <w:rPr>
                <w:rFonts w:ascii="Arial" w:cs="Arial" w:eastAsia="Arial" w:hAnsi="Arial"/>
                <w:sz w:val="14"/>
                <w:szCs w:val="14"/>
                <w:color w:val="auto"/>
                <w:w w:val="91"/>
              </w:rPr>
              <w:t>Other</w:t>
            </w:r>
          </w:p>
        </w:tc>
        <w:tc>
          <w:tcPr>
            <w:tcW w:w="180" w:type="dxa"/>
            <w:vAlign w:val="bottom"/>
            <w:tcBorders>
              <w:bottom w:val="single" w:sz="8" w:color="CCEEFF"/>
            </w:tcBorders>
          </w:tcPr>
          <w:p>
            <w:pPr>
              <w:spacing w:after="0"/>
              <w:rPr>
                <w:sz w:val="15"/>
                <w:szCs w:val="15"/>
                <w:color w:val="auto"/>
              </w:rPr>
            </w:pPr>
          </w:p>
        </w:tc>
        <w:tc>
          <w:tcPr>
            <w:tcW w:w="94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color w:val="auto"/>
              </w:rPr>
              <w:t>Consolidated</w:t>
            </w:r>
          </w:p>
        </w:tc>
        <w:tc>
          <w:tcPr>
            <w:tcW w:w="16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w w:val="87"/>
              </w:rPr>
              <w:t>Regulated</w:t>
            </w:r>
          </w:p>
        </w:tc>
        <w:tc>
          <w:tcPr>
            <w:tcW w:w="16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center"/>
              <w:ind w:right="148"/>
              <w:spacing w:after="0"/>
              <w:rPr>
                <w:sz w:val="20"/>
                <w:szCs w:val="20"/>
                <w:color w:val="auto"/>
              </w:rPr>
            </w:pPr>
            <w:r>
              <w:rPr>
                <w:rFonts w:ascii="Arial" w:cs="Arial" w:eastAsia="Arial" w:hAnsi="Arial"/>
                <w:sz w:val="14"/>
                <w:szCs w:val="14"/>
                <w:color w:val="auto"/>
                <w:w w:val="96"/>
              </w:rPr>
              <w:t>Other</w:t>
            </w:r>
          </w:p>
        </w:tc>
        <w:tc>
          <w:tcPr>
            <w:tcW w:w="160" w:type="dxa"/>
            <w:vAlign w:val="bottom"/>
            <w:tcBorders>
              <w:bottom w:val="single" w:sz="8" w:color="CCEEFF"/>
            </w:tcBorders>
          </w:tcPr>
          <w:p>
            <w:pPr>
              <w:spacing w:after="0"/>
              <w:rPr>
                <w:sz w:val="15"/>
                <w:szCs w:val="15"/>
                <w:color w:val="auto"/>
              </w:rPr>
            </w:pPr>
          </w:p>
        </w:tc>
        <w:tc>
          <w:tcPr>
            <w:tcW w:w="90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color w:val="auto"/>
                <w:w w:val="97"/>
              </w:rPr>
              <w:t>Consolidated</w:t>
            </w:r>
          </w:p>
        </w:tc>
      </w:tr>
      <w:tr>
        <w:trPr>
          <w:trHeight w:val="183"/>
        </w:trPr>
        <w:tc>
          <w:tcPr>
            <w:tcW w:w="3180" w:type="dxa"/>
            <w:vAlign w:val="bottom"/>
            <w:shd w:val="clear" w:color="auto" w:fill="CCEEFF"/>
          </w:tcPr>
          <w:p>
            <w:pPr>
              <w:spacing w:after="0"/>
              <w:rPr>
                <w:sz w:val="20"/>
                <w:szCs w:val="20"/>
                <w:color w:val="auto"/>
              </w:rPr>
            </w:pPr>
            <w:r>
              <w:rPr>
                <w:rFonts w:ascii="Arial" w:cs="Arial" w:eastAsia="Arial" w:hAnsi="Arial"/>
                <w:sz w:val="14"/>
                <w:szCs w:val="14"/>
                <w:color w:val="auto"/>
              </w:rPr>
              <w:t>Operating revenues</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629,692</w:t>
            </w:r>
          </w:p>
        </w:tc>
        <w:tc>
          <w:tcPr>
            <w:tcW w:w="44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2,652</w:t>
            </w:r>
          </w:p>
        </w:tc>
        <w:tc>
          <w:tcPr>
            <w:tcW w:w="180" w:type="dxa"/>
            <w:vAlign w:val="bottom"/>
            <w:shd w:val="clear" w:color="auto" w:fill="CCEEFF"/>
          </w:tcPr>
          <w:p>
            <w:pPr>
              <w:spacing w:after="0"/>
              <w:rPr>
                <w:sz w:val="15"/>
                <w:szCs w:val="15"/>
                <w:color w:val="auto"/>
              </w:rPr>
            </w:pPr>
          </w:p>
        </w:tc>
        <w:tc>
          <w:tcPr>
            <w:tcW w:w="300" w:type="dxa"/>
            <w:vAlign w:val="bottom"/>
            <w:shd w:val="clear" w:color="auto" w:fill="CCEEFF"/>
          </w:tcPr>
          <w:p>
            <w:pPr>
              <w:ind w:left="100"/>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632,344</w:t>
            </w:r>
          </w:p>
        </w:tc>
        <w:tc>
          <w:tcPr>
            <w:tcW w:w="160" w:type="dxa"/>
            <w:vAlign w:val="bottom"/>
            <w:shd w:val="clear" w:color="auto" w:fill="CCEEFF"/>
          </w:tcPr>
          <w:p>
            <w:pPr>
              <w:spacing w:after="0"/>
              <w:rPr>
                <w:sz w:val="15"/>
                <w:szCs w:val="15"/>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602,341</w:t>
            </w:r>
          </w:p>
        </w:tc>
        <w:tc>
          <w:tcPr>
            <w:tcW w:w="3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3,872</w:t>
            </w:r>
          </w:p>
        </w:tc>
        <w:tc>
          <w:tcPr>
            <w:tcW w:w="160" w:type="dxa"/>
            <w:vAlign w:val="bottom"/>
            <w:shd w:val="clear" w:color="auto" w:fill="CCEEFF"/>
          </w:tcPr>
          <w:p>
            <w:pPr>
              <w:spacing w:after="0"/>
              <w:rPr>
                <w:sz w:val="15"/>
                <w:szCs w:val="15"/>
                <w:color w:val="auto"/>
              </w:rPr>
            </w:pPr>
          </w:p>
        </w:tc>
        <w:tc>
          <w:tcPr>
            <w:tcW w:w="280" w:type="dxa"/>
            <w:vAlign w:val="bottom"/>
            <w:shd w:val="clear" w:color="auto" w:fill="CCEEFF"/>
          </w:tcPr>
          <w:p>
            <w:pPr>
              <w:ind w:left="100"/>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606,213</w:t>
            </w:r>
          </w:p>
        </w:tc>
      </w:tr>
      <w:tr>
        <w:trPr>
          <w:trHeight w:val="203"/>
        </w:trPr>
        <w:tc>
          <w:tcPr>
            <w:tcW w:w="3180" w:type="dxa"/>
            <w:vAlign w:val="bottom"/>
          </w:tcPr>
          <w:p>
            <w:pPr>
              <w:spacing w:after="0"/>
              <w:rPr>
                <w:sz w:val="20"/>
                <w:szCs w:val="20"/>
                <w:color w:val="auto"/>
              </w:rPr>
            </w:pPr>
            <w:r>
              <w:rPr>
                <w:rFonts w:ascii="Arial" w:cs="Arial" w:eastAsia="Arial" w:hAnsi="Arial"/>
                <w:sz w:val="14"/>
                <w:szCs w:val="14"/>
                <w:color w:val="auto"/>
              </w:rPr>
              <w:t>Operations and maintenance expense</w:t>
            </w:r>
          </w:p>
        </w:tc>
        <w:tc>
          <w:tcPr>
            <w:tcW w:w="16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213,314</w:t>
            </w: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2,771</w:t>
            </w:r>
          </w:p>
        </w:tc>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216,085</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207,128</w:t>
            </w: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4"/>
                <w:szCs w:val="14"/>
                <w:color w:val="auto"/>
              </w:rPr>
              <w:t>(2,879)</w:t>
            </w:r>
          </w:p>
        </w:tc>
        <w:tc>
          <w:tcPr>
            <w:tcW w:w="28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204,249</w:t>
            </w:r>
          </w:p>
        </w:tc>
      </w:tr>
      <w:tr>
        <w:trPr>
          <w:trHeight w:val="203"/>
        </w:trPr>
        <w:tc>
          <w:tcPr>
            <w:tcW w:w="3180" w:type="dxa"/>
            <w:vAlign w:val="bottom"/>
            <w:shd w:val="clear" w:color="auto" w:fill="CCEEFF"/>
          </w:tcPr>
          <w:p>
            <w:pPr>
              <w:spacing w:after="0"/>
              <w:rPr>
                <w:sz w:val="20"/>
                <w:szCs w:val="20"/>
                <w:color w:val="auto"/>
              </w:rPr>
            </w:pPr>
            <w:r>
              <w:rPr>
                <w:rFonts w:ascii="Arial" w:cs="Arial" w:eastAsia="Arial" w:hAnsi="Arial"/>
                <w:sz w:val="14"/>
                <w:szCs w:val="14"/>
                <w:color w:val="auto"/>
              </w:rPr>
              <w:t>Depreciation</w:t>
            </w: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110,010</w:t>
            </w:r>
          </w:p>
        </w:tc>
        <w:tc>
          <w:tcPr>
            <w:tcW w:w="1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w:t>
            </w:r>
          </w:p>
        </w:tc>
        <w:tc>
          <w:tcPr>
            <w:tcW w:w="1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110,037</w:t>
            </w: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102,340</w:t>
            </w: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(832)</w:t>
            </w:r>
          </w:p>
        </w:tc>
        <w:tc>
          <w:tcPr>
            <w:tcW w:w="28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101,508</w:t>
            </w:r>
          </w:p>
        </w:tc>
      </w:tr>
      <w:tr>
        <w:trPr>
          <w:trHeight w:val="203"/>
        </w:trPr>
        <w:tc>
          <w:tcPr>
            <w:tcW w:w="3180" w:type="dxa"/>
            <w:vAlign w:val="bottom"/>
          </w:tcPr>
          <w:p>
            <w:pPr>
              <w:spacing w:after="0"/>
              <w:rPr>
                <w:sz w:val="20"/>
                <w:szCs w:val="20"/>
                <w:color w:val="auto"/>
              </w:rPr>
            </w:pPr>
            <w:r>
              <w:rPr>
                <w:rFonts w:ascii="Arial" w:cs="Arial" w:eastAsia="Arial" w:hAnsi="Arial"/>
                <w:sz w:val="14"/>
                <w:szCs w:val="14"/>
                <w:color w:val="auto"/>
              </w:rPr>
              <w:t>Amortization</w:t>
            </w:r>
          </w:p>
        </w:tc>
        <w:tc>
          <w:tcPr>
            <w:tcW w:w="16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327</w:t>
            </w: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151</w:t>
            </w:r>
          </w:p>
        </w:tc>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478</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414</w:t>
            </w: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4"/>
                <w:szCs w:val="14"/>
                <w:color w:val="auto"/>
              </w:rPr>
              <w:t>(56)</w:t>
            </w:r>
          </w:p>
        </w:tc>
        <w:tc>
          <w:tcPr>
            <w:tcW w:w="28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358</w:t>
            </w:r>
          </w:p>
        </w:tc>
      </w:tr>
      <w:tr>
        <w:trPr>
          <w:trHeight w:val="203"/>
        </w:trPr>
        <w:tc>
          <w:tcPr>
            <w:tcW w:w="3180" w:type="dxa"/>
            <w:vAlign w:val="bottom"/>
            <w:shd w:val="clear" w:color="auto" w:fill="CCEEFF"/>
          </w:tcPr>
          <w:p>
            <w:pPr>
              <w:spacing w:after="0"/>
              <w:rPr>
                <w:sz w:val="20"/>
                <w:szCs w:val="20"/>
                <w:color w:val="auto"/>
              </w:rPr>
            </w:pPr>
            <w:r>
              <w:rPr>
                <w:rFonts w:ascii="Arial" w:cs="Arial" w:eastAsia="Arial" w:hAnsi="Arial"/>
                <w:sz w:val="14"/>
                <w:szCs w:val="14"/>
                <w:color w:val="auto"/>
              </w:rPr>
              <w:t>Operating income (loss)</w:t>
            </w: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262,404</w:t>
            </w:r>
          </w:p>
        </w:tc>
        <w:tc>
          <w:tcPr>
            <w:tcW w:w="1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(2,020)</w:t>
            </w:r>
          </w:p>
        </w:tc>
        <w:tc>
          <w:tcPr>
            <w:tcW w:w="30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260,384</w:t>
            </w: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250,075</w:t>
            </w: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5,633</w:t>
            </w:r>
          </w:p>
        </w:tc>
        <w:tc>
          <w:tcPr>
            <w:tcW w:w="1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255,708</w:t>
            </w:r>
          </w:p>
        </w:tc>
      </w:tr>
      <w:tr>
        <w:trPr>
          <w:trHeight w:val="203"/>
        </w:trPr>
        <w:tc>
          <w:tcPr>
            <w:tcW w:w="3180" w:type="dxa"/>
            <w:vAlign w:val="bottom"/>
          </w:tcPr>
          <w:p>
            <w:pPr>
              <w:spacing w:after="0"/>
              <w:rPr>
                <w:sz w:val="20"/>
                <w:szCs w:val="20"/>
                <w:color w:val="auto"/>
              </w:rPr>
            </w:pPr>
            <w:r>
              <w:rPr>
                <w:rFonts w:ascii="Arial" w:cs="Arial" w:eastAsia="Arial" w:hAnsi="Arial"/>
                <w:sz w:val="14"/>
                <w:szCs w:val="14"/>
                <w:color w:val="auto"/>
              </w:rPr>
              <w:t>Interest expense, net</w:t>
            </w:r>
          </w:p>
        </w:tc>
        <w:tc>
          <w:tcPr>
            <w:tcW w:w="16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66,153</w:t>
            </w: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6,400</w:t>
            </w:r>
          </w:p>
        </w:tc>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72,553</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60,277</w:t>
            </w: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4,847</w:t>
            </w: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65,124</w:t>
            </w:r>
          </w:p>
        </w:tc>
      </w:tr>
      <w:tr>
        <w:trPr>
          <w:trHeight w:val="203"/>
        </w:trPr>
        <w:tc>
          <w:tcPr>
            <w:tcW w:w="3180" w:type="dxa"/>
            <w:vAlign w:val="bottom"/>
            <w:shd w:val="clear" w:color="auto" w:fill="CCEEFF"/>
          </w:tcPr>
          <w:p>
            <w:pPr>
              <w:spacing w:after="0"/>
              <w:rPr>
                <w:sz w:val="20"/>
                <w:szCs w:val="20"/>
                <w:color w:val="auto"/>
              </w:rPr>
            </w:pPr>
            <w:r>
              <w:rPr>
                <w:rFonts w:ascii="Arial" w:cs="Arial" w:eastAsia="Arial" w:hAnsi="Arial"/>
                <w:sz w:val="14"/>
                <w:szCs w:val="14"/>
                <w:color w:val="auto"/>
              </w:rPr>
              <w:t>Allowance for funds used during construction</w:t>
            </w: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8,510</w:t>
            </w:r>
          </w:p>
        </w:tc>
        <w:tc>
          <w:tcPr>
            <w:tcW w:w="1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8,510</w:t>
            </w: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10,570</w:t>
            </w: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10,570</w:t>
            </w:r>
          </w:p>
        </w:tc>
      </w:tr>
      <w:tr>
        <w:trPr>
          <w:trHeight w:val="203"/>
        </w:trPr>
        <w:tc>
          <w:tcPr>
            <w:tcW w:w="3180" w:type="dxa"/>
            <w:vAlign w:val="bottom"/>
          </w:tcPr>
          <w:p>
            <w:pPr>
              <w:spacing w:after="0"/>
              <w:rPr>
                <w:sz w:val="20"/>
                <w:szCs w:val="20"/>
                <w:color w:val="auto"/>
              </w:rPr>
            </w:pPr>
            <w:r>
              <w:rPr>
                <w:rFonts w:ascii="Arial" w:cs="Arial" w:eastAsia="Arial" w:hAnsi="Arial"/>
                <w:sz w:val="14"/>
                <w:szCs w:val="14"/>
                <w:color w:val="auto"/>
              </w:rPr>
              <w:t>Provision for income taxes</w:t>
            </w:r>
          </w:p>
        </w:tc>
        <w:tc>
          <w:tcPr>
            <w:tcW w:w="16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3,557</w:t>
            </w: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4"/>
                <w:szCs w:val="14"/>
                <w:color w:val="auto"/>
              </w:rPr>
              <w:t>(2,120)</w:t>
            </w:r>
          </w:p>
        </w:tc>
        <w:tc>
          <w:tcPr>
            <w:tcW w:w="30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1,437</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12,243</w:t>
            </w: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4"/>
                <w:szCs w:val="14"/>
                <w:color w:val="auto"/>
              </w:rPr>
              <w:t>(344)</w:t>
            </w:r>
          </w:p>
        </w:tc>
        <w:tc>
          <w:tcPr>
            <w:tcW w:w="28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11,899</w:t>
            </w:r>
          </w:p>
        </w:tc>
      </w:tr>
      <w:tr>
        <w:trPr>
          <w:trHeight w:val="203"/>
        </w:trPr>
        <w:tc>
          <w:tcPr>
            <w:tcW w:w="3180" w:type="dxa"/>
            <w:vAlign w:val="bottom"/>
            <w:shd w:val="clear" w:color="auto" w:fill="CCEEFF"/>
          </w:tcPr>
          <w:p>
            <w:pPr>
              <w:spacing w:after="0"/>
              <w:rPr>
                <w:sz w:val="20"/>
                <w:szCs w:val="20"/>
                <w:color w:val="auto"/>
              </w:rPr>
            </w:pPr>
            <w:r>
              <w:rPr>
                <w:rFonts w:ascii="Arial" w:cs="Arial" w:eastAsia="Arial" w:hAnsi="Arial"/>
                <w:sz w:val="14"/>
                <w:szCs w:val="14"/>
                <w:color w:val="auto"/>
              </w:rPr>
              <w:t>Net income (loss)</w:t>
            </w: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202,030</w:t>
            </w:r>
          </w:p>
        </w:tc>
        <w:tc>
          <w:tcPr>
            <w:tcW w:w="1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(6,385)</w:t>
            </w:r>
          </w:p>
        </w:tc>
        <w:tc>
          <w:tcPr>
            <w:tcW w:w="30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195,645</w:t>
            </w: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184,733</w:t>
            </w: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1,532</w:t>
            </w:r>
          </w:p>
        </w:tc>
        <w:tc>
          <w:tcPr>
            <w:tcW w:w="1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186,265</w:t>
            </w:r>
          </w:p>
        </w:tc>
      </w:tr>
      <w:tr>
        <w:trPr>
          <w:trHeight w:val="218"/>
        </w:trPr>
        <w:tc>
          <w:tcPr>
            <w:tcW w:w="3180" w:type="dxa"/>
            <w:vAlign w:val="bottom"/>
          </w:tcPr>
          <w:p>
            <w:pPr>
              <w:spacing w:after="0"/>
              <w:rPr>
                <w:sz w:val="20"/>
                <w:szCs w:val="20"/>
                <w:color w:val="auto"/>
              </w:rPr>
            </w:pPr>
            <w:r>
              <w:rPr>
                <w:rFonts w:ascii="Arial" w:cs="Arial" w:eastAsia="Arial" w:hAnsi="Arial"/>
                <w:sz w:val="14"/>
                <w:szCs w:val="14"/>
                <w:color w:val="auto"/>
              </w:rPr>
              <w:t>Capital expenditures</w:t>
            </w: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343,219</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343,219</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337,321</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410</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337,731</w:t>
            </w:r>
          </w:p>
        </w:tc>
      </w:tr>
    </w:tbl>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63500</wp:posOffset>
            </wp:positionV>
            <wp:extent cx="6114415" cy="514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114415" cy="51435"/>
                    </a:xfrm>
                    <a:prstGeom prst="rect">
                      <a:avLst/>
                    </a:prstGeom>
                    <a:noFill/>
                  </pic:spPr>
                </pic:pic>
              </a:graphicData>
            </a:graphic>
          </wp:anchor>
        </w:drawing>
      </w:r>
    </w:p>
    <w:p>
      <w:pPr>
        <w:sectPr>
          <w:pgSz w:w="11900" w:h="16838" w:orient="portrait"/>
          <w:cols w:equalWidth="0" w:num="1">
            <w:col w:w="9540"/>
          </w:cols>
          <w:pgMar w:left="1220" w:top="118" w:right="1139" w:bottom="1440" w:gutter="0" w:footer="0" w:header="0"/>
        </w:sectPr>
      </w:pPr>
    </w:p>
    <w:bookmarkStart w:id="26" w:name="page27"/>
    <w:bookmarkEnd w:id="26"/>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AQUA AMERICA, INC. AND SUBSIDIARIES NOTES TO CONSOLIDATED FINANCIAL STATEMENTS (continued) (In thousands of dollars, except per share amounts) (UNAUDITED)</w:t>
      </w:r>
    </w:p>
    <w:p>
      <w:pPr>
        <w:spacing w:after="0" w:line="200" w:lineRule="exact"/>
        <w:rPr>
          <w:sz w:val="20"/>
          <w:szCs w:val="20"/>
          <w:color w:val="auto"/>
        </w:rPr>
      </w:pP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42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400" w:type="dxa"/>
            <w:vAlign w:val="bottom"/>
            <w:gridSpan w:val="2"/>
          </w:tcPr>
          <w:p>
            <w:pPr>
              <w:ind w:left="180"/>
              <w:spacing w:after="0"/>
              <w:rPr>
                <w:sz w:val="20"/>
                <w:szCs w:val="20"/>
                <w:color w:val="auto"/>
              </w:rPr>
            </w:pPr>
            <w:r>
              <w:rPr>
                <w:rFonts w:ascii="Arial" w:cs="Arial" w:eastAsia="Arial" w:hAnsi="Arial"/>
                <w:sz w:val="22"/>
                <w:szCs w:val="22"/>
                <w:color w:val="auto"/>
              </w:rPr>
              <w:t>September 30,</w:t>
            </w:r>
          </w:p>
        </w:tc>
        <w:tc>
          <w:tcPr>
            <w:tcW w:w="440" w:type="dxa"/>
            <w:vAlign w:val="bottom"/>
          </w:tcPr>
          <w:p>
            <w:pPr>
              <w:spacing w:after="0"/>
              <w:rPr>
                <w:sz w:val="21"/>
                <w:szCs w:val="21"/>
                <w:color w:val="auto"/>
              </w:rPr>
            </w:pPr>
          </w:p>
        </w:tc>
        <w:tc>
          <w:tcPr>
            <w:tcW w:w="1960" w:type="dxa"/>
            <w:vAlign w:val="bottom"/>
          </w:tcPr>
          <w:p>
            <w:pPr>
              <w:jc w:val="right"/>
              <w:ind w:right="492"/>
              <w:spacing w:after="0"/>
              <w:rPr>
                <w:sz w:val="20"/>
                <w:szCs w:val="20"/>
                <w:color w:val="auto"/>
              </w:rPr>
            </w:pPr>
            <w:r>
              <w:rPr>
                <w:rFonts w:ascii="Arial" w:cs="Arial" w:eastAsia="Arial" w:hAnsi="Arial"/>
                <w:sz w:val="22"/>
                <w:szCs w:val="22"/>
                <w:color w:val="auto"/>
                <w:w w:val="96"/>
              </w:rPr>
              <w:t>December 31,</w:t>
            </w:r>
          </w:p>
        </w:tc>
      </w:tr>
      <w:tr>
        <w:trPr>
          <w:trHeight w:val="265"/>
        </w:trPr>
        <w:tc>
          <w:tcPr>
            <w:tcW w:w="4260" w:type="dxa"/>
            <w:vAlign w:val="bottom"/>
          </w:tcPr>
          <w:p>
            <w:pPr>
              <w:spacing w:after="0"/>
              <w:rPr>
                <w:sz w:val="23"/>
                <w:szCs w:val="23"/>
                <w:color w:val="auto"/>
              </w:rPr>
            </w:pPr>
          </w:p>
        </w:tc>
        <w:tc>
          <w:tcPr>
            <w:tcW w:w="480" w:type="dxa"/>
            <w:vAlign w:val="bottom"/>
            <w:tcBorders>
              <w:bottom w:val="single" w:sz="8" w:color="auto"/>
            </w:tcBorders>
          </w:tcPr>
          <w:p>
            <w:pPr>
              <w:spacing w:after="0"/>
              <w:rPr>
                <w:sz w:val="23"/>
                <w:szCs w:val="23"/>
                <w:color w:val="auto"/>
              </w:rPr>
            </w:pPr>
          </w:p>
        </w:tc>
        <w:tc>
          <w:tcPr>
            <w:tcW w:w="2100" w:type="dxa"/>
            <w:vAlign w:val="bottom"/>
            <w:tcBorders>
              <w:bottom w:val="single" w:sz="8" w:color="auto"/>
            </w:tcBorders>
          </w:tcPr>
          <w:p>
            <w:pPr>
              <w:jc w:val="right"/>
              <w:ind w:right="972"/>
              <w:spacing w:after="0"/>
              <w:rPr>
                <w:sz w:val="20"/>
                <w:szCs w:val="20"/>
                <w:color w:val="auto"/>
              </w:rPr>
            </w:pPr>
            <w:r>
              <w:rPr>
                <w:rFonts w:ascii="Arial" w:cs="Arial" w:eastAsia="Arial" w:hAnsi="Arial"/>
                <w:sz w:val="22"/>
                <w:szCs w:val="22"/>
                <w:color w:val="auto"/>
              </w:rPr>
              <w:t>2018</w:t>
            </w:r>
          </w:p>
        </w:tc>
        <w:tc>
          <w:tcPr>
            <w:tcW w:w="300" w:type="dxa"/>
            <w:vAlign w:val="bottom"/>
          </w:tcPr>
          <w:p>
            <w:pPr>
              <w:spacing w:after="0"/>
              <w:rPr>
                <w:sz w:val="23"/>
                <w:szCs w:val="23"/>
                <w:color w:val="auto"/>
              </w:rPr>
            </w:pPr>
          </w:p>
        </w:tc>
        <w:tc>
          <w:tcPr>
            <w:tcW w:w="440" w:type="dxa"/>
            <w:vAlign w:val="bottom"/>
            <w:tcBorders>
              <w:bottom w:val="single" w:sz="8" w:color="auto"/>
            </w:tcBorders>
          </w:tcPr>
          <w:p>
            <w:pPr>
              <w:spacing w:after="0"/>
              <w:rPr>
                <w:sz w:val="23"/>
                <w:szCs w:val="23"/>
                <w:color w:val="auto"/>
              </w:rPr>
            </w:pPr>
          </w:p>
        </w:tc>
        <w:tc>
          <w:tcPr>
            <w:tcW w:w="1960" w:type="dxa"/>
            <w:vAlign w:val="bottom"/>
            <w:tcBorders>
              <w:bottom w:val="single" w:sz="8" w:color="auto"/>
            </w:tcBorders>
          </w:tcPr>
          <w:p>
            <w:pPr>
              <w:jc w:val="right"/>
              <w:ind w:right="872"/>
              <w:spacing w:after="0"/>
              <w:rPr>
                <w:sz w:val="20"/>
                <w:szCs w:val="20"/>
                <w:color w:val="auto"/>
              </w:rPr>
            </w:pPr>
            <w:r>
              <w:rPr>
                <w:rFonts w:ascii="Arial" w:cs="Arial" w:eastAsia="Arial" w:hAnsi="Arial"/>
                <w:sz w:val="22"/>
                <w:szCs w:val="22"/>
                <w:color w:val="auto"/>
              </w:rPr>
              <w:t>2017</w:t>
            </w:r>
          </w:p>
        </w:tc>
      </w:tr>
      <w:tr>
        <w:trPr>
          <w:trHeight w:val="264"/>
        </w:trPr>
        <w:tc>
          <w:tcPr>
            <w:tcW w:w="4260" w:type="dxa"/>
            <w:vAlign w:val="bottom"/>
          </w:tcPr>
          <w:p>
            <w:pPr>
              <w:spacing w:after="0"/>
              <w:rPr>
                <w:sz w:val="20"/>
                <w:szCs w:val="20"/>
                <w:color w:val="auto"/>
              </w:rPr>
            </w:pPr>
            <w:r>
              <w:rPr>
                <w:rFonts w:ascii="Arial" w:cs="Arial" w:eastAsia="Arial" w:hAnsi="Arial"/>
                <w:sz w:val="22"/>
                <w:szCs w:val="22"/>
                <w:color w:val="auto"/>
              </w:rPr>
              <w:t>Total assets:</w:t>
            </w:r>
          </w:p>
        </w:tc>
        <w:tc>
          <w:tcPr>
            <w:tcW w:w="480" w:type="dxa"/>
            <w:vAlign w:val="bottom"/>
          </w:tcPr>
          <w:p>
            <w:pPr>
              <w:spacing w:after="0"/>
              <w:rPr>
                <w:sz w:val="22"/>
                <w:szCs w:val="22"/>
                <w:color w:val="auto"/>
              </w:rPr>
            </w:pPr>
          </w:p>
        </w:tc>
        <w:tc>
          <w:tcPr>
            <w:tcW w:w="2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960" w:type="dxa"/>
            <w:vAlign w:val="bottom"/>
          </w:tcPr>
          <w:p>
            <w:pPr>
              <w:spacing w:after="0"/>
              <w:rPr>
                <w:sz w:val="22"/>
                <w:szCs w:val="22"/>
                <w:color w:val="auto"/>
              </w:rPr>
            </w:pPr>
          </w:p>
        </w:tc>
      </w:tr>
      <w:tr>
        <w:trPr>
          <w:trHeight w:val="284"/>
        </w:trPr>
        <w:tc>
          <w:tcPr>
            <w:tcW w:w="4260" w:type="dxa"/>
            <w:vAlign w:val="bottom"/>
            <w:shd w:val="clear" w:color="auto" w:fill="CCEEFF"/>
          </w:tcPr>
          <w:p>
            <w:pPr>
              <w:ind w:left="100"/>
              <w:spacing w:after="0"/>
              <w:rPr>
                <w:sz w:val="20"/>
                <w:szCs w:val="20"/>
                <w:color w:val="auto"/>
              </w:rPr>
            </w:pPr>
            <w:r>
              <w:rPr>
                <w:rFonts w:ascii="Arial" w:cs="Arial" w:eastAsia="Arial" w:hAnsi="Arial"/>
                <w:sz w:val="22"/>
                <w:szCs w:val="22"/>
                <w:color w:val="auto"/>
              </w:rPr>
              <w:t>Regulated</w:t>
            </w:r>
          </w:p>
        </w:tc>
        <w:tc>
          <w:tcPr>
            <w:tcW w:w="480" w:type="dxa"/>
            <w:vAlign w:val="bottom"/>
            <w:shd w:val="clear" w:color="auto" w:fill="CCEEFF"/>
          </w:tcPr>
          <w:p>
            <w:pPr>
              <w:jc w:val="right"/>
              <w:ind w:right="72"/>
              <w:spacing w:after="0"/>
              <w:rPr>
                <w:sz w:val="20"/>
                <w:szCs w:val="20"/>
                <w:color w:val="auto"/>
              </w:rPr>
            </w:pPr>
            <w:r>
              <w:rPr>
                <w:rFonts w:ascii="Arial" w:cs="Arial" w:eastAsia="Arial" w:hAnsi="Arial"/>
                <w:sz w:val="22"/>
                <w:szCs w:val="22"/>
                <w:color w:val="auto"/>
              </w:rPr>
              <w:t>$</w:t>
            </w:r>
          </w:p>
        </w:tc>
        <w:tc>
          <w:tcPr>
            <w:tcW w:w="2100" w:type="dxa"/>
            <w:vAlign w:val="bottom"/>
            <w:shd w:val="clear" w:color="auto" w:fill="CCEEFF"/>
          </w:tcPr>
          <w:p>
            <w:pPr>
              <w:jc w:val="right"/>
              <w:spacing w:after="0"/>
              <w:rPr>
                <w:sz w:val="20"/>
                <w:szCs w:val="20"/>
                <w:color w:val="auto"/>
              </w:rPr>
            </w:pPr>
            <w:r>
              <w:rPr>
                <w:rFonts w:ascii="Arial" w:cs="Arial" w:eastAsia="Arial" w:hAnsi="Arial"/>
                <w:sz w:val="22"/>
                <w:szCs w:val="22"/>
                <w:color w:val="auto"/>
              </w:rPr>
              <w:t>6,641,298</w:t>
            </w:r>
          </w:p>
        </w:tc>
        <w:tc>
          <w:tcPr>
            <w:tcW w:w="300" w:type="dxa"/>
            <w:vAlign w:val="bottom"/>
            <w:shd w:val="clear" w:color="auto" w:fill="CCEEFF"/>
          </w:tcPr>
          <w:p>
            <w:pPr>
              <w:spacing w:after="0"/>
              <w:rPr>
                <w:sz w:val="24"/>
                <w:szCs w:val="24"/>
                <w:color w:val="auto"/>
              </w:rPr>
            </w:pPr>
          </w:p>
        </w:tc>
        <w:tc>
          <w:tcPr>
            <w:tcW w:w="440" w:type="dxa"/>
            <w:vAlign w:val="bottom"/>
            <w:shd w:val="clear" w:color="auto" w:fill="CCEEFF"/>
          </w:tcPr>
          <w:p>
            <w:pPr>
              <w:jc w:val="right"/>
              <w:ind w:right="52"/>
              <w:spacing w:after="0"/>
              <w:rPr>
                <w:sz w:val="20"/>
                <w:szCs w:val="20"/>
                <w:color w:val="auto"/>
              </w:rPr>
            </w:pPr>
            <w:r>
              <w:rPr>
                <w:rFonts w:ascii="Arial" w:cs="Arial" w:eastAsia="Arial" w:hAnsi="Arial"/>
                <w:sz w:val="22"/>
                <w:szCs w:val="22"/>
                <w:color w:val="auto"/>
              </w:rPr>
              <w:t>$</w:t>
            </w:r>
          </w:p>
        </w:tc>
        <w:tc>
          <w:tcPr>
            <w:tcW w:w="1960" w:type="dxa"/>
            <w:vAlign w:val="bottom"/>
            <w:shd w:val="clear" w:color="auto" w:fill="CCEEFF"/>
          </w:tcPr>
          <w:p>
            <w:pPr>
              <w:jc w:val="right"/>
              <w:spacing w:after="0"/>
              <w:rPr>
                <w:sz w:val="20"/>
                <w:szCs w:val="20"/>
                <w:color w:val="auto"/>
              </w:rPr>
            </w:pPr>
            <w:r>
              <w:rPr>
                <w:rFonts w:ascii="Arial" w:cs="Arial" w:eastAsia="Arial" w:hAnsi="Arial"/>
                <w:sz w:val="22"/>
                <w:szCs w:val="22"/>
                <w:color w:val="auto"/>
              </w:rPr>
              <w:t>6,236,109</w:t>
            </w:r>
          </w:p>
        </w:tc>
      </w:tr>
      <w:tr>
        <w:trPr>
          <w:trHeight w:val="284"/>
        </w:trPr>
        <w:tc>
          <w:tcPr>
            <w:tcW w:w="4260" w:type="dxa"/>
            <w:vAlign w:val="bottom"/>
            <w:tcBorders>
              <w:bottom w:val="single" w:sz="8" w:color="CCEEFF"/>
            </w:tcBorders>
          </w:tcPr>
          <w:p>
            <w:pPr>
              <w:ind w:left="100"/>
              <w:spacing w:after="0"/>
              <w:rPr>
                <w:sz w:val="20"/>
                <w:szCs w:val="20"/>
                <w:color w:val="auto"/>
              </w:rPr>
            </w:pPr>
            <w:r>
              <w:rPr>
                <w:rFonts w:ascii="Arial" w:cs="Arial" w:eastAsia="Arial" w:hAnsi="Arial"/>
                <w:sz w:val="22"/>
                <w:szCs w:val="22"/>
                <w:color w:val="auto"/>
              </w:rPr>
              <w:t>Other</w:t>
            </w:r>
          </w:p>
        </w:tc>
        <w:tc>
          <w:tcPr>
            <w:tcW w:w="480" w:type="dxa"/>
            <w:vAlign w:val="bottom"/>
            <w:tcBorders>
              <w:bottom w:val="single" w:sz="8" w:color="auto"/>
            </w:tcBorders>
          </w:tcPr>
          <w:p>
            <w:pPr>
              <w:spacing w:after="0"/>
              <w:rPr>
                <w:sz w:val="24"/>
                <w:szCs w:val="24"/>
                <w:color w:val="auto"/>
              </w:rPr>
            </w:pPr>
          </w:p>
        </w:tc>
        <w:tc>
          <w:tcPr>
            <w:tcW w:w="210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115,803</w:t>
            </w:r>
          </w:p>
        </w:tc>
        <w:tc>
          <w:tcPr>
            <w:tcW w:w="300" w:type="dxa"/>
            <w:vAlign w:val="bottom"/>
            <w:tcBorders>
              <w:bottom w:val="single" w:sz="8" w:color="CCEEFF"/>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96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96,354</w:t>
            </w:r>
          </w:p>
        </w:tc>
      </w:tr>
      <w:tr>
        <w:trPr>
          <w:trHeight w:val="257"/>
        </w:trPr>
        <w:tc>
          <w:tcPr>
            <w:tcW w:w="4260" w:type="dxa"/>
            <w:vAlign w:val="bottom"/>
            <w:tcBorders>
              <w:bottom w:val="single" w:sz="8" w:color="CCEEFF"/>
            </w:tcBorders>
            <w:shd w:val="clear" w:color="auto" w:fill="CCEEFF"/>
          </w:tcPr>
          <w:p>
            <w:pPr>
              <w:ind w:left="100"/>
              <w:spacing w:after="0" w:line="250" w:lineRule="exact"/>
              <w:rPr>
                <w:sz w:val="20"/>
                <w:szCs w:val="20"/>
                <w:color w:val="auto"/>
              </w:rPr>
            </w:pPr>
            <w:r>
              <w:rPr>
                <w:rFonts w:ascii="Arial" w:cs="Arial" w:eastAsia="Arial" w:hAnsi="Arial"/>
                <w:sz w:val="22"/>
                <w:szCs w:val="22"/>
                <w:color w:val="auto"/>
              </w:rPr>
              <w:t>Consolidated</w:t>
            </w:r>
          </w:p>
        </w:tc>
        <w:tc>
          <w:tcPr>
            <w:tcW w:w="480" w:type="dxa"/>
            <w:vAlign w:val="bottom"/>
            <w:tcBorders>
              <w:bottom w:val="single" w:sz="8" w:color="auto"/>
            </w:tcBorders>
            <w:shd w:val="clear" w:color="auto" w:fill="CCEEFF"/>
          </w:tcPr>
          <w:p>
            <w:pPr>
              <w:jc w:val="right"/>
              <w:ind w:right="72"/>
              <w:spacing w:after="0" w:line="250" w:lineRule="exact"/>
              <w:rPr>
                <w:sz w:val="20"/>
                <w:szCs w:val="20"/>
                <w:color w:val="auto"/>
              </w:rPr>
            </w:pPr>
            <w:r>
              <w:rPr>
                <w:rFonts w:ascii="Arial" w:cs="Arial" w:eastAsia="Arial" w:hAnsi="Arial"/>
                <w:sz w:val="22"/>
                <w:szCs w:val="22"/>
                <w:color w:val="auto"/>
              </w:rPr>
              <w:t>$</w:t>
            </w:r>
          </w:p>
        </w:tc>
        <w:tc>
          <w:tcPr>
            <w:tcW w:w="2100" w:type="dxa"/>
            <w:vAlign w:val="bottom"/>
            <w:tcBorders>
              <w:bottom w:val="single" w:sz="8" w:color="auto"/>
            </w:tcBorders>
            <w:shd w:val="clear" w:color="auto" w:fill="CCEEFF"/>
          </w:tcPr>
          <w:p>
            <w:pPr>
              <w:jc w:val="right"/>
              <w:spacing w:after="0" w:line="250" w:lineRule="exact"/>
              <w:rPr>
                <w:sz w:val="20"/>
                <w:szCs w:val="20"/>
                <w:color w:val="auto"/>
              </w:rPr>
            </w:pPr>
            <w:r>
              <w:rPr>
                <w:rFonts w:ascii="Arial" w:cs="Arial" w:eastAsia="Arial" w:hAnsi="Arial"/>
                <w:sz w:val="22"/>
                <w:szCs w:val="22"/>
                <w:color w:val="auto"/>
              </w:rPr>
              <w:t>6,757,101</w:t>
            </w:r>
          </w:p>
        </w:tc>
        <w:tc>
          <w:tcPr>
            <w:tcW w:w="3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auto"/>
            </w:tcBorders>
            <w:shd w:val="clear" w:color="auto" w:fill="CCEEFF"/>
          </w:tcPr>
          <w:p>
            <w:pPr>
              <w:jc w:val="right"/>
              <w:ind w:right="52"/>
              <w:spacing w:after="0" w:line="250" w:lineRule="exact"/>
              <w:rPr>
                <w:sz w:val="20"/>
                <w:szCs w:val="20"/>
                <w:color w:val="auto"/>
              </w:rPr>
            </w:pPr>
            <w:r>
              <w:rPr>
                <w:rFonts w:ascii="Arial" w:cs="Arial" w:eastAsia="Arial" w:hAnsi="Arial"/>
                <w:sz w:val="22"/>
                <w:szCs w:val="22"/>
                <w:color w:val="auto"/>
              </w:rPr>
              <w:t>$</w:t>
            </w:r>
          </w:p>
        </w:tc>
        <w:tc>
          <w:tcPr>
            <w:tcW w:w="1960" w:type="dxa"/>
            <w:vAlign w:val="bottom"/>
            <w:tcBorders>
              <w:bottom w:val="single" w:sz="8" w:color="auto"/>
            </w:tcBorders>
            <w:shd w:val="clear" w:color="auto" w:fill="CCEEFF"/>
          </w:tcPr>
          <w:p>
            <w:pPr>
              <w:jc w:val="right"/>
              <w:spacing w:after="0" w:line="250" w:lineRule="exact"/>
              <w:rPr>
                <w:sz w:val="20"/>
                <w:szCs w:val="20"/>
                <w:color w:val="auto"/>
              </w:rPr>
            </w:pPr>
            <w:r>
              <w:rPr>
                <w:rFonts w:ascii="Arial" w:cs="Arial" w:eastAsia="Arial" w:hAnsi="Arial"/>
                <w:sz w:val="22"/>
                <w:szCs w:val="22"/>
                <w:color w:val="auto"/>
              </w:rPr>
              <w:t>6,332,463</w:t>
            </w:r>
          </w:p>
        </w:tc>
      </w:tr>
    </w:tbl>
    <w:p>
      <w:pPr>
        <w:spacing w:after="0" w:line="36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Note 14 – </w:t>
      </w:r>
      <w:r>
        <w:rPr>
          <w:rFonts w:ascii="Arial" w:cs="Arial" w:eastAsia="Arial" w:hAnsi="Arial"/>
          <w:sz w:val="22"/>
          <w:szCs w:val="22"/>
          <w:b w:val="1"/>
          <w:bCs w:val="1"/>
          <w:i w:val="1"/>
          <w:iCs w:val="1"/>
          <w:color w:val="auto"/>
        </w:rPr>
        <w:t>Commitments and Contingencies</w:t>
      </w:r>
    </w:p>
    <w:p>
      <w:pPr>
        <w:spacing w:after="0" w:line="239" w:lineRule="exact"/>
        <w:rPr>
          <w:sz w:val="20"/>
          <w:szCs w:val="20"/>
          <w:color w:val="auto"/>
        </w:rPr>
      </w:pPr>
    </w:p>
    <w:p>
      <w:pPr>
        <w:spacing w:after="0" w:line="271" w:lineRule="auto"/>
        <w:rPr>
          <w:sz w:val="20"/>
          <w:szCs w:val="20"/>
          <w:color w:val="auto"/>
        </w:rPr>
      </w:pPr>
      <w:r>
        <w:rPr>
          <w:rFonts w:ascii="Arial" w:cs="Arial" w:eastAsia="Arial" w:hAnsi="Arial"/>
          <w:sz w:val="19"/>
          <w:szCs w:val="19"/>
          <w:color w:val="auto"/>
        </w:rPr>
        <w:t>The Company is routinely involved in various disputes, claims, lawsuits and other regulatory and legal matters, including both asserted and unasserted legal claims, in the ordinary course of business. The status of each such matter, referred to herein as a loss contingency, is reviewed and assessed in accordance with applicable accounting rules regarding the nature of the matter, the likelihood that a loss will be incurred, and the amounts involved. As of September 30, 2018, the aggregate amount of $17,816 is accrued for loss contingencies and is reported in the Company’s consolidated balance sheet as other accrued liabilities and other liabilities. These accruals represent management’s best estimate of probable loss (as defined in the accounting guidance) for loss contingencies or the low end of a range of losses if no single probable loss can be estimated. For some loss contingencies, the Company is unable to estimate the amount of the probable loss or range of probable losses. While the final outcome of these loss contingencies cannot be predicted with certainty, and unfavorable outcomes could negatively impact the Company, at this time in the opinion of management, the final resolution of these matters are not expected to have a material adverse effect on the Company’s financial position, results of operations or cash flows. Further, the Company has insurance coverage for certain of these loss contingencies, and as of September 30, 2018, estimates that approximately $6,009 of the amount accrued for these matters are probable of recovery through insurance, which amount is also reported in the Company’s consolidated balance sheet as deferred charges and other assets, net.</w:t>
      </w:r>
    </w:p>
    <w:p>
      <w:pPr>
        <w:spacing w:after="0" w:line="185" w:lineRule="exact"/>
        <w:rPr>
          <w:sz w:val="20"/>
          <w:szCs w:val="20"/>
          <w:color w:val="auto"/>
        </w:rPr>
      </w:pPr>
    </w:p>
    <w:p>
      <w:pPr>
        <w:ind w:right="120"/>
        <w:spacing w:after="0" w:line="238" w:lineRule="auto"/>
        <w:rPr>
          <w:sz w:val="20"/>
          <w:szCs w:val="20"/>
          <w:color w:val="auto"/>
        </w:rPr>
      </w:pPr>
      <w:r>
        <w:rPr>
          <w:rFonts w:ascii="Arial" w:cs="Arial" w:eastAsia="Arial" w:hAnsi="Arial"/>
          <w:sz w:val="22"/>
          <w:szCs w:val="22"/>
          <w:color w:val="auto"/>
        </w:rPr>
        <w:t>Although the results of legal proceedings cannot be predicted with certainty, there are no pending legal proceedings to which the Company or any of its subsidiaries is a party or to which any of its properties is the subject that are material or are expected to have a material effect on the Company’s financial position, results of operations, or cash flows.</w:t>
      </w:r>
    </w:p>
    <w:p>
      <w:pPr>
        <w:spacing w:after="0" w:line="212" w:lineRule="exact"/>
        <w:rPr>
          <w:sz w:val="20"/>
          <w:szCs w:val="20"/>
          <w:color w:val="auto"/>
        </w:rPr>
      </w:pPr>
    </w:p>
    <w:p>
      <w:pPr>
        <w:ind w:right="80"/>
        <w:spacing w:after="0" w:line="252" w:lineRule="auto"/>
        <w:rPr>
          <w:sz w:val="20"/>
          <w:szCs w:val="20"/>
          <w:color w:val="auto"/>
        </w:rPr>
      </w:pPr>
      <w:r>
        <w:rPr>
          <w:rFonts w:ascii="Arial" w:cs="Arial" w:eastAsia="Arial" w:hAnsi="Arial"/>
          <w:sz w:val="21"/>
          <w:szCs w:val="21"/>
          <w:color w:val="auto"/>
        </w:rPr>
        <w:t>In addition to the aforementioned loss contingencies, the Company self-insures its employee medical benefit program, and maintains stop-loss coverage to limit the exposure arising from these claims. The Company’s reserve for these claims totaled $1,515 at September 30, 2018 and represents a reserve for unpaid claim costs, including an estimate for the cost of incurred but not reported claims.</w:t>
      </w:r>
    </w:p>
    <w:p>
      <w:pPr>
        <w:spacing w:after="0" w:line="19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Note 15 – </w:t>
      </w:r>
      <w:r>
        <w:rPr>
          <w:rFonts w:ascii="Arial" w:cs="Arial" w:eastAsia="Arial" w:hAnsi="Arial"/>
          <w:sz w:val="22"/>
          <w:szCs w:val="22"/>
          <w:b w:val="1"/>
          <w:bCs w:val="1"/>
          <w:i w:val="1"/>
          <w:iCs w:val="1"/>
          <w:color w:val="auto"/>
        </w:rPr>
        <w:t>Income Taxes</w:t>
      </w:r>
    </w:p>
    <w:p>
      <w:pPr>
        <w:spacing w:after="0" w:line="239" w:lineRule="exact"/>
        <w:rPr>
          <w:sz w:val="20"/>
          <w:szCs w:val="20"/>
          <w:color w:val="auto"/>
        </w:rPr>
      </w:pPr>
    </w:p>
    <w:p>
      <w:pPr>
        <w:ind w:right="200"/>
        <w:spacing w:after="0" w:line="279" w:lineRule="auto"/>
        <w:rPr>
          <w:sz w:val="20"/>
          <w:szCs w:val="20"/>
          <w:color w:val="auto"/>
        </w:rPr>
      </w:pPr>
      <w:r>
        <w:rPr>
          <w:rFonts w:ascii="Arial" w:cs="Arial" w:eastAsia="Arial" w:hAnsi="Arial"/>
          <w:sz w:val="19"/>
          <w:szCs w:val="19"/>
          <w:color w:val="auto"/>
        </w:rPr>
        <w:t>During the nine months ended September 30, 2018, the Company’s Federal net operating loss (“NOL”) carryforward decreased by $51,031. In addition, during the nine months ended September 30, 2018, the Company’s state NOL carryforward increased by $14,468. As of September 30, 2018, the balance of the Company’s Federal NOL was $12,271. The Company believes its Federal NOL carryforward is more likely than not to be recovered and requires no valuation allowance. As of September 30, 2018, the balance of the Company’s gross state NOL was $646,676, a portion of which is offset by a valuation</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63500</wp:posOffset>
            </wp:positionV>
            <wp:extent cx="6114415" cy="514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114415" cy="51435"/>
                    </a:xfrm>
                    <a:prstGeom prst="rect">
                      <a:avLst/>
                    </a:prstGeom>
                    <a:noFill/>
                  </pic:spPr>
                </pic:pic>
              </a:graphicData>
            </a:graphic>
          </wp:anchor>
        </w:drawing>
      </w:r>
    </w:p>
    <w:p>
      <w:pPr>
        <w:sectPr>
          <w:pgSz w:w="11900" w:h="16838" w:orient="portrait"/>
          <w:cols w:equalWidth="0" w:num="1">
            <w:col w:w="9560"/>
          </w:cols>
          <w:pgMar w:left="1220" w:top="118" w:right="1119" w:bottom="1440" w:gutter="0" w:footer="0" w:header="0"/>
        </w:sectPr>
      </w:pPr>
    </w:p>
    <w:bookmarkStart w:id="27" w:name="page28"/>
    <w:bookmarkEnd w:id="27"/>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9" w:lineRule="exact"/>
        <w:rPr>
          <w:sz w:val="20"/>
          <w:szCs w:val="20"/>
          <w:color w:val="auto"/>
        </w:rPr>
      </w:pPr>
    </w:p>
    <w:p>
      <w:pPr>
        <w:jc w:val="center"/>
        <w:ind w:left="1240" w:right="1540"/>
        <w:spacing w:after="0"/>
        <w:rPr>
          <w:sz w:val="20"/>
          <w:szCs w:val="20"/>
          <w:color w:val="auto"/>
        </w:rPr>
      </w:pPr>
      <w:r>
        <w:rPr>
          <w:rFonts w:ascii="Arial" w:cs="Arial" w:eastAsia="Arial" w:hAnsi="Arial"/>
          <w:sz w:val="22"/>
          <w:szCs w:val="22"/>
          <w:color w:val="auto"/>
        </w:rPr>
        <w:t>AQUA AMERICA, INC. AND SUBSIDIARIES NOTES TO CONSOLIDATED FINANCIAL STATEMENTS (continued) (In thousands of dollars, except per share amounts) (UNAUDITED)</w:t>
      </w:r>
    </w:p>
    <w:p>
      <w:pPr>
        <w:spacing w:after="0" w:line="200" w:lineRule="exact"/>
        <w:rPr>
          <w:sz w:val="20"/>
          <w:szCs w:val="20"/>
          <w:color w:val="auto"/>
        </w:rPr>
      </w:pPr>
    </w:p>
    <w:p>
      <w:pPr>
        <w:spacing w:after="0" w:line="239" w:lineRule="exact"/>
        <w:rPr>
          <w:sz w:val="20"/>
          <w:szCs w:val="20"/>
          <w:color w:val="auto"/>
        </w:rPr>
      </w:pPr>
    </w:p>
    <w:p>
      <w:pPr>
        <w:ind w:right="60"/>
        <w:spacing w:after="0" w:line="234" w:lineRule="auto"/>
        <w:rPr>
          <w:sz w:val="20"/>
          <w:szCs w:val="20"/>
          <w:color w:val="auto"/>
        </w:rPr>
      </w:pPr>
      <w:r>
        <w:rPr>
          <w:rFonts w:ascii="Arial" w:cs="Arial" w:eastAsia="Arial" w:hAnsi="Arial"/>
          <w:sz w:val="22"/>
          <w:szCs w:val="22"/>
          <w:color w:val="auto"/>
        </w:rPr>
        <w:t>allowance because the Company does not believe the state NOLs are more likely than not to be realized. The Company’s Federal and state NOL carryforwards begin to expire in 2032 and 2023, respectively. The Company’s Federal and state NOL carryforwards are reduced by an unrecognized tax position, on a gross basis, of $65,194 and $85,636, respectively. The amounts of the Company’s Federal and state NOL carryforwards prior to being reduced by the unrecognized tax positions were $77,465 and $732,311 respectively. The Company records its unrecognized tax benefit as a reduction to its deferred income tax liability.</w:t>
      </w:r>
    </w:p>
    <w:p>
      <w:pPr>
        <w:spacing w:after="0" w:line="218" w:lineRule="exact"/>
        <w:rPr>
          <w:sz w:val="20"/>
          <w:szCs w:val="20"/>
          <w:color w:val="auto"/>
        </w:rPr>
      </w:pPr>
    </w:p>
    <w:p>
      <w:pPr>
        <w:ind w:right="40"/>
        <w:spacing w:after="0" w:line="249" w:lineRule="auto"/>
        <w:rPr>
          <w:sz w:val="20"/>
          <w:szCs w:val="20"/>
          <w:color w:val="auto"/>
        </w:rPr>
      </w:pPr>
      <w:r>
        <w:rPr>
          <w:rFonts w:ascii="Arial" w:cs="Arial" w:eastAsia="Arial" w:hAnsi="Arial"/>
          <w:sz w:val="21"/>
          <w:szCs w:val="21"/>
          <w:color w:val="auto"/>
        </w:rPr>
        <w:t>In accordance with a 2012 settlement agreement with the Pennsylvania Public Utility Commission, Aqua Pennsylvania expenses, for tax purposes, qualifying utility asset improvement costs, which results in a substantial reduction in income tax expense and greater net income and cash flows. The Company’s effective income tax rate for the third quarter of 2018 and 2017 was 4.8% and 4.3%, respectively, and for the first nine months of 2018 and 2017 was 0.7% and 6.0%, respectively.</w:t>
      </w:r>
    </w:p>
    <w:p>
      <w:pPr>
        <w:spacing w:after="0" w:line="206" w:lineRule="exact"/>
        <w:rPr>
          <w:sz w:val="20"/>
          <w:szCs w:val="20"/>
          <w:color w:val="auto"/>
        </w:rPr>
      </w:pPr>
    </w:p>
    <w:p>
      <w:pPr>
        <w:ind w:right="40"/>
        <w:spacing w:after="0" w:line="238" w:lineRule="auto"/>
        <w:rPr>
          <w:sz w:val="20"/>
          <w:szCs w:val="20"/>
          <w:color w:val="auto"/>
        </w:rPr>
      </w:pPr>
      <w:r>
        <w:rPr>
          <w:rFonts w:ascii="Arial" w:cs="Arial" w:eastAsia="Arial" w:hAnsi="Arial"/>
          <w:sz w:val="22"/>
          <w:szCs w:val="22"/>
          <w:color w:val="auto"/>
        </w:rPr>
        <w:t>As of September 30, 2018, the total gross unrecognized tax benefit was $18,990. As a result of the regulatory treatment afforded for qualifying infrastructure improvements in Pennsylvania, $26,400, if recognized, would affect the Company’s effective tax rate. At December 31, 2017, the Company had unrecognized tax benefits of $17,583.</w:t>
      </w:r>
    </w:p>
    <w:p>
      <w:pPr>
        <w:spacing w:after="0" w:line="212" w:lineRule="exact"/>
        <w:rPr>
          <w:sz w:val="20"/>
          <w:szCs w:val="20"/>
          <w:color w:val="auto"/>
        </w:rPr>
      </w:pPr>
    </w:p>
    <w:p>
      <w:pPr>
        <w:ind w:right="180"/>
        <w:spacing w:after="0" w:line="247" w:lineRule="auto"/>
        <w:rPr>
          <w:sz w:val="20"/>
          <w:szCs w:val="20"/>
          <w:color w:val="auto"/>
        </w:rPr>
      </w:pPr>
      <w:r>
        <w:rPr>
          <w:rFonts w:ascii="Arial" w:cs="Arial" w:eastAsia="Arial" w:hAnsi="Arial"/>
          <w:sz w:val="21"/>
          <w:szCs w:val="21"/>
          <w:color w:val="auto"/>
        </w:rPr>
        <w:t>Accounting rules for uncertain tax positions specify that tax positions for which the timing of resolution is uncertain should be classified as long-term liabilities. Judgment is required in evaluating the Company’s uncertain tax positions and determining the provision for income taxes. Management believes that an adequate provision has been made for any adjustments that may result from tax examinations. Although the timing of income tax audit resolutions and negotiations with taxing authorities is highly uncertain, the Company does not anticipate a significant change to the total amount of unrecognized income tax benefits within the next 12 months.</w:t>
      </w:r>
    </w:p>
    <w:p>
      <w:pPr>
        <w:spacing w:after="0" w:line="205" w:lineRule="exact"/>
        <w:rPr>
          <w:sz w:val="20"/>
          <w:szCs w:val="20"/>
          <w:color w:val="auto"/>
        </w:rPr>
      </w:pPr>
    </w:p>
    <w:p>
      <w:pPr>
        <w:spacing w:after="0" w:line="273" w:lineRule="auto"/>
        <w:rPr>
          <w:sz w:val="20"/>
          <w:szCs w:val="20"/>
          <w:color w:val="auto"/>
        </w:rPr>
      </w:pPr>
      <w:r>
        <w:rPr>
          <w:rFonts w:ascii="Arial" w:cs="Arial" w:eastAsia="Arial" w:hAnsi="Arial"/>
          <w:sz w:val="19"/>
          <w:szCs w:val="19"/>
          <w:color w:val="auto"/>
        </w:rPr>
        <w:t>On December 22, 2017, President Trump signed the TCJA into law. Substantially all the provisions of the TCJA are effective for taxable years beginning after December 31, 2017. The TCJA includes significant changes to the Internal Revenue Code and the taxation of business entities, and includes specific provisions related to regulated public utilities. Significant changes that impact the Company included in the TCJA are a reduction in the corporate federal income tax rate from 35% to 21%, effective January 1, 2018, and a limitation of the utilization of NOLs arising after December 31, 2017 to 80% of taxable income with an indefinite carryforward. The specific TCJA provisions related to our regulated entities generally allow for the continued deductibility of interest expense, the elimination of full expensing for tax purposes of certain property acquired after September 27, 2017 and the continuation of certain rate normalization requirements for accelerated depreciation benefits. Our market-based companies still qualify for 100% deductibility of qualifying property acquired after September 27, 2017.</w:t>
      </w:r>
    </w:p>
    <w:p>
      <w:pPr>
        <w:spacing w:after="0" w:line="200" w:lineRule="exact"/>
        <w:rPr>
          <w:sz w:val="20"/>
          <w:szCs w:val="20"/>
          <w:color w:val="auto"/>
        </w:rPr>
      </w:pPr>
    </w:p>
    <w:p>
      <w:pPr>
        <w:spacing w:after="0" w:line="218" w:lineRule="exact"/>
        <w:rPr>
          <w:sz w:val="20"/>
          <w:szCs w:val="20"/>
          <w:color w:val="auto"/>
        </w:rPr>
      </w:pPr>
    </w:p>
    <w:p>
      <w:pPr>
        <w:ind w:right="220"/>
        <w:spacing w:after="0" w:line="250" w:lineRule="auto"/>
        <w:rPr>
          <w:sz w:val="20"/>
          <w:szCs w:val="20"/>
          <w:color w:val="auto"/>
        </w:rPr>
      </w:pPr>
      <w:r>
        <w:rPr>
          <w:rFonts w:ascii="Arial" w:cs="Arial" w:eastAsia="Arial" w:hAnsi="Arial"/>
          <w:sz w:val="21"/>
          <w:szCs w:val="21"/>
          <w:color w:val="auto"/>
        </w:rPr>
        <w:t>In accordance with the FASB’s accounting guidance for income taxes</w:t>
      </w:r>
      <w:r>
        <w:rPr>
          <w:rFonts w:ascii="Arial" w:cs="Arial" w:eastAsia="Arial" w:hAnsi="Arial"/>
          <w:sz w:val="21"/>
          <w:szCs w:val="21"/>
          <w:i w:val="1"/>
          <w:iCs w:val="1"/>
          <w:color w:val="auto"/>
        </w:rPr>
        <w:t>,</w:t>
      </w:r>
      <w:r>
        <w:rPr>
          <w:rFonts w:ascii="Arial" w:cs="Arial" w:eastAsia="Arial" w:hAnsi="Arial"/>
          <w:sz w:val="21"/>
          <w:szCs w:val="21"/>
          <w:color w:val="auto"/>
        </w:rPr>
        <w:t xml:space="preserve"> the tax effects of changes in tax laws must be recognized in the period in which the law is enacted, or December 22, 2017 for the</w:t>
      </w:r>
    </w:p>
    <w:p>
      <w:pPr>
        <w:spacing w:after="0" w:line="1" w:lineRule="exact"/>
        <w:rPr>
          <w:sz w:val="20"/>
          <w:szCs w:val="20"/>
          <w:color w:val="auto"/>
        </w:rPr>
      </w:pPr>
    </w:p>
    <w:p>
      <w:pPr>
        <w:spacing w:after="0" w:line="277" w:lineRule="auto"/>
        <w:rPr>
          <w:sz w:val="20"/>
          <w:szCs w:val="20"/>
          <w:color w:val="auto"/>
        </w:rPr>
      </w:pPr>
      <w:r>
        <w:rPr>
          <w:rFonts w:ascii="Arial" w:cs="Arial" w:eastAsia="Arial" w:hAnsi="Arial"/>
          <w:sz w:val="19"/>
          <w:szCs w:val="19"/>
          <w:color w:val="auto"/>
        </w:rPr>
        <w:t>TCJA. Additionally, deferred tax assets and liabilities are required to be measured at the enacted tax rate expected to apply when temporary differences are to be realized or settled. Thus, at the date of enactment, the Company’s deferred taxes were re-measured based upon the new tax rate. For our regulated entities, the change in deferred taxes is recorded as either an offset to a regulatory asset or liability and may be subject to refund to customers. In instances where the deferred tax balances are not</w:t>
      </w:r>
    </w:p>
    <w:p>
      <w:pPr>
        <w:spacing w:after="0" w:line="153"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63500</wp:posOffset>
            </wp:positionV>
            <wp:extent cx="6114415" cy="514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114415" cy="51435"/>
                    </a:xfrm>
                    <a:prstGeom prst="rect">
                      <a:avLst/>
                    </a:prstGeom>
                    <a:noFill/>
                  </pic:spPr>
                </pic:pic>
              </a:graphicData>
            </a:graphic>
          </wp:anchor>
        </w:drawing>
      </w:r>
    </w:p>
    <w:p>
      <w:pPr>
        <w:sectPr>
          <w:pgSz w:w="11900" w:h="16838" w:orient="portrait"/>
          <w:cols w:equalWidth="0" w:num="1">
            <w:col w:w="9520"/>
          </w:cols>
          <w:pgMar w:left="1220" w:top="118" w:right="1159" w:bottom="1440" w:gutter="0" w:footer="0" w:header="0"/>
        </w:sectPr>
      </w:pPr>
    </w:p>
    <w:bookmarkStart w:id="28" w:name="page29"/>
    <w:bookmarkEnd w:id="28"/>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AQUA AMERICA, INC. AND SUBSIDIARIES NOTES TO CONSOLIDATED FINANCIAL STATEMENTS (continued) (In thousands of dollars, except per share amounts) (UNAUDITED)</w:t>
      </w:r>
    </w:p>
    <w:p>
      <w:pPr>
        <w:spacing w:after="0" w:line="200" w:lineRule="exact"/>
        <w:rPr>
          <w:sz w:val="20"/>
          <w:szCs w:val="20"/>
          <w:color w:val="auto"/>
        </w:rPr>
      </w:pPr>
    </w:p>
    <w:p>
      <w:pPr>
        <w:spacing w:after="0" w:line="239" w:lineRule="exact"/>
        <w:rPr>
          <w:sz w:val="20"/>
          <w:szCs w:val="20"/>
          <w:color w:val="auto"/>
        </w:rPr>
      </w:pPr>
    </w:p>
    <w:p>
      <w:pPr>
        <w:ind w:right="60"/>
        <w:spacing w:after="0" w:line="251" w:lineRule="auto"/>
        <w:rPr>
          <w:sz w:val="20"/>
          <w:szCs w:val="20"/>
          <w:color w:val="auto"/>
        </w:rPr>
      </w:pPr>
      <w:r>
        <w:rPr>
          <w:rFonts w:ascii="Arial" w:cs="Arial" w:eastAsia="Arial" w:hAnsi="Arial"/>
          <w:sz w:val="22"/>
          <w:szCs w:val="22"/>
          <w:color w:val="auto"/>
        </w:rPr>
        <w:t>in ratemaking, such as the Company’s market-based operations, the change in deferred taxes is recorded as an adjustment to our deferred tax provision.</w:t>
      </w:r>
    </w:p>
    <w:p>
      <w:pPr>
        <w:spacing w:after="0" w:line="187" w:lineRule="exact"/>
        <w:rPr>
          <w:sz w:val="20"/>
          <w:szCs w:val="20"/>
          <w:color w:val="auto"/>
        </w:rPr>
      </w:pPr>
    </w:p>
    <w:p>
      <w:pPr>
        <w:spacing w:after="0" w:line="274" w:lineRule="auto"/>
        <w:rPr>
          <w:sz w:val="20"/>
          <w:szCs w:val="20"/>
          <w:color w:val="auto"/>
        </w:rPr>
      </w:pPr>
      <w:r>
        <w:rPr>
          <w:rFonts w:ascii="Arial" w:cs="Arial" w:eastAsia="Arial" w:hAnsi="Arial"/>
          <w:sz w:val="19"/>
          <w:szCs w:val="19"/>
          <w:color w:val="auto"/>
        </w:rPr>
        <w:t>The staff of the SEC has recognized the complexity of reflecting the impacts of the TCJA, and on December 22, 2017 issued guidance, which clarifies accounting for income taxes if information is not yet available or complete and provides for up to a one year period in which to complete the required analyses and accounting (the measurement period). The guidance describes three scenarios (or “buckets”) associated with a company’s status of accounting for income tax reform: (1) a company is complete with its accounting for certain effects of tax reform, (2) a company is able to determine a reasonable estimate for certain effects of tax reform and records that estimate as a provisional amount, or (3) a company is not able to determine a reasonable estimate and therefore continues to apply the FASB’s accounting guidance, based on the provisions of the tax laws that were in effect immediately prior to the TCJA being enacted.</w:t>
      </w:r>
    </w:p>
    <w:p>
      <w:pPr>
        <w:spacing w:after="0" w:line="159" w:lineRule="exact"/>
        <w:rPr>
          <w:sz w:val="20"/>
          <w:szCs w:val="20"/>
          <w:color w:val="auto"/>
        </w:rPr>
      </w:pPr>
    </w:p>
    <w:p>
      <w:pPr>
        <w:ind w:right="120"/>
        <w:spacing w:after="0" w:line="273" w:lineRule="auto"/>
        <w:rPr>
          <w:sz w:val="20"/>
          <w:szCs w:val="20"/>
          <w:color w:val="auto"/>
        </w:rPr>
      </w:pPr>
      <w:r>
        <w:rPr>
          <w:rFonts w:ascii="Arial" w:cs="Arial" w:eastAsia="Arial" w:hAnsi="Arial"/>
          <w:sz w:val="19"/>
          <w:szCs w:val="19"/>
          <w:color w:val="auto"/>
        </w:rPr>
        <w:t>The Company has completed or has made a reasonable estimate for the measurement and accounting of the effect of the TCJA which were reflected in the December 31, 2017 financial statements, which resulted in a decrease to the accumulated deferred income tax liability of $303,320. Additionally, due to the reduction in the Company’s corporate income tax rate, in the first nine months of 2018, the Company has reserved $4,679 for amounts expected to be refundable to utility customers. During the first nine months of 2018, in Illinois, Virginia, Texas, New Jersey, and two operating divisions in Ohio which operate under locally-negotiated contractual rates with their respective counties, the Company’s base rates have been adjusted or surcredits have been added to customer bills to reflect the lower corporate income tax rate. In addition, through a reduction in base rates or surcredits, the Company has refunded approximately $6,700 to utility customers during the first nine months of 2018.</w:t>
      </w:r>
    </w:p>
    <w:p>
      <w:pPr>
        <w:spacing w:after="0" w:line="175" w:lineRule="exact"/>
        <w:rPr>
          <w:sz w:val="20"/>
          <w:szCs w:val="20"/>
          <w:color w:val="auto"/>
        </w:rPr>
      </w:pPr>
    </w:p>
    <w:p>
      <w:pPr>
        <w:spacing w:after="0"/>
        <w:rPr>
          <w:sz w:val="20"/>
          <w:szCs w:val="20"/>
          <w:color w:val="auto"/>
        </w:rPr>
      </w:pPr>
      <w:r>
        <w:rPr>
          <w:rFonts w:ascii="Arial" w:cs="Arial" w:eastAsia="Arial" w:hAnsi="Arial"/>
          <w:sz w:val="19"/>
          <w:szCs w:val="19"/>
          <w:color w:val="auto"/>
        </w:rPr>
        <w:t>As of December 31, 2017, the Company had provisionally estimated that $175,108 of deferred income tax</w:t>
      </w:r>
    </w:p>
    <w:p>
      <w:pPr>
        <w:spacing w:after="0" w:line="43" w:lineRule="exact"/>
        <w:rPr>
          <w:sz w:val="20"/>
          <w:szCs w:val="20"/>
          <w:color w:val="auto"/>
        </w:rPr>
      </w:pPr>
    </w:p>
    <w:p>
      <w:pPr>
        <w:spacing w:after="0"/>
        <w:rPr>
          <w:sz w:val="20"/>
          <w:szCs w:val="20"/>
          <w:color w:val="auto"/>
        </w:rPr>
      </w:pPr>
      <w:r>
        <w:rPr>
          <w:rFonts w:ascii="Arial" w:cs="Arial" w:eastAsia="Arial" w:hAnsi="Arial"/>
          <w:sz w:val="19"/>
          <w:szCs w:val="19"/>
          <w:color w:val="auto"/>
        </w:rPr>
        <w:t>liabilities for our Pennsylvania subsidiary will be a regulatory liability as a result of the accounting effect of</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the TCJA. In May 2018, the Pennsylvania Public Utility Commission (“PA PUC”) issued an order that set</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forth the requirements for utilities to either immediately initiate the refund or otherwise address the impacts of</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the TCJA in the utilities’ next rate case. Aqua Pennsylvania was included in the rate filing group of utilities</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as the Company filed a base rate case in August 2018, during which the PA PUC is expected to address the</w:t>
      </w:r>
    </w:p>
    <w:p>
      <w:pPr>
        <w:spacing w:after="0" w:line="25" w:lineRule="exact"/>
        <w:rPr>
          <w:sz w:val="20"/>
          <w:szCs w:val="20"/>
          <w:color w:val="auto"/>
        </w:rPr>
      </w:pPr>
    </w:p>
    <w:p>
      <w:pPr>
        <w:spacing w:after="0"/>
        <w:rPr>
          <w:sz w:val="20"/>
          <w:szCs w:val="20"/>
          <w:color w:val="auto"/>
        </w:rPr>
      </w:pPr>
      <w:r>
        <w:rPr>
          <w:rFonts w:ascii="Arial" w:cs="Arial" w:eastAsia="Arial" w:hAnsi="Arial"/>
          <w:sz w:val="21"/>
          <w:szCs w:val="21"/>
          <w:color w:val="auto"/>
        </w:rPr>
        <w:t>effects of the TCJA within the base rate case filing. Additionally, the PA PUC has ordered that all rates</w:t>
      </w:r>
    </w:p>
    <w:p>
      <w:pPr>
        <w:spacing w:after="0" w:line="2" w:lineRule="exact"/>
        <w:rPr>
          <w:sz w:val="20"/>
          <w:szCs w:val="20"/>
          <w:color w:val="auto"/>
        </w:rPr>
      </w:pPr>
    </w:p>
    <w:p>
      <w:pPr>
        <w:spacing w:after="0"/>
        <w:rPr>
          <w:sz w:val="20"/>
          <w:szCs w:val="20"/>
          <w:color w:val="auto"/>
        </w:rPr>
      </w:pPr>
      <w:r>
        <w:rPr>
          <w:rFonts w:ascii="Arial" w:cs="Arial" w:eastAsia="Arial" w:hAnsi="Arial"/>
          <w:sz w:val="19"/>
          <w:szCs w:val="19"/>
          <w:color w:val="auto"/>
        </w:rPr>
        <w:t>charged by utilities, including those billed by Aqua Pennsylvania since January 1, 2018, are temporary and</w:t>
      </w:r>
    </w:p>
    <w:p>
      <w:pPr>
        <w:spacing w:after="0" w:line="25" w:lineRule="exact"/>
        <w:rPr>
          <w:sz w:val="20"/>
          <w:szCs w:val="20"/>
          <w:color w:val="auto"/>
        </w:rPr>
      </w:pPr>
    </w:p>
    <w:p>
      <w:pPr>
        <w:spacing w:after="0"/>
        <w:rPr>
          <w:sz w:val="20"/>
          <w:szCs w:val="20"/>
          <w:color w:val="auto"/>
        </w:rPr>
      </w:pPr>
      <w:r>
        <w:rPr>
          <w:rFonts w:ascii="Arial" w:cs="Arial" w:eastAsia="Arial" w:hAnsi="Arial"/>
          <w:sz w:val="21"/>
          <w:szCs w:val="21"/>
          <w:color w:val="auto"/>
        </w:rPr>
        <w:t>subject to refund pending the outcome of its review of the effects of the TCJA within the next base rate</w:t>
      </w:r>
    </w:p>
    <w:p>
      <w:pPr>
        <w:spacing w:after="0" w:line="2" w:lineRule="exact"/>
        <w:rPr>
          <w:sz w:val="20"/>
          <w:szCs w:val="20"/>
          <w:color w:val="auto"/>
        </w:rPr>
      </w:pPr>
    </w:p>
    <w:p>
      <w:pPr>
        <w:spacing w:after="0"/>
        <w:rPr>
          <w:sz w:val="20"/>
          <w:szCs w:val="20"/>
          <w:color w:val="auto"/>
        </w:rPr>
      </w:pPr>
      <w:r>
        <w:rPr>
          <w:rFonts w:ascii="Arial" w:cs="Arial" w:eastAsia="Arial" w:hAnsi="Arial"/>
          <w:sz w:val="19"/>
          <w:szCs w:val="19"/>
          <w:color w:val="auto"/>
        </w:rPr>
        <w:t>case. Based on the Company’s review of the present circumstances, no reserve is considered necessary for the</w:t>
      </w:r>
    </w:p>
    <w:p>
      <w:pPr>
        <w:spacing w:after="0" w:line="25" w:lineRule="exact"/>
        <w:rPr>
          <w:sz w:val="20"/>
          <w:szCs w:val="20"/>
          <w:color w:val="auto"/>
        </w:rPr>
      </w:pPr>
    </w:p>
    <w:p>
      <w:pPr>
        <w:spacing w:after="0"/>
        <w:rPr>
          <w:sz w:val="20"/>
          <w:szCs w:val="20"/>
          <w:color w:val="auto"/>
        </w:rPr>
      </w:pPr>
      <w:r>
        <w:rPr>
          <w:rFonts w:ascii="Arial" w:cs="Arial" w:eastAsia="Arial" w:hAnsi="Arial"/>
          <w:sz w:val="22"/>
          <w:szCs w:val="22"/>
          <w:color w:val="auto"/>
        </w:rPr>
        <w:t>revenue recognized to date in 2018.</w:t>
      </w:r>
    </w:p>
    <w:p>
      <w:pPr>
        <w:spacing w:after="0" w:line="202" w:lineRule="exact"/>
        <w:rPr>
          <w:sz w:val="20"/>
          <w:szCs w:val="20"/>
          <w:color w:val="auto"/>
        </w:rPr>
      </w:pPr>
    </w:p>
    <w:p>
      <w:pPr>
        <w:ind w:right="60"/>
        <w:spacing w:after="0" w:line="274" w:lineRule="auto"/>
        <w:rPr>
          <w:sz w:val="20"/>
          <w:szCs w:val="20"/>
          <w:color w:val="auto"/>
        </w:rPr>
      </w:pPr>
      <w:r>
        <w:rPr>
          <w:rFonts w:ascii="Arial" w:cs="Arial" w:eastAsia="Arial" w:hAnsi="Arial"/>
          <w:sz w:val="19"/>
          <w:szCs w:val="19"/>
          <w:color w:val="auto"/>
        </w:rPr>
        <w:t>The Company’s regulated operations accounting for income taxes are impacted by the FASB’s accounting guidance for regulated operations. Reductions in accumulated deferred income tax balances due to the reduction in the Federal corporate income tax rates to 21% under the provisions of the TCJA will result in amounts previously collected from utility customers for these deferred taxes to be refundable to such customers, generally through reductions in future rates. The TCJA includes provisions that stipulate how these excess deferred taxes related to certain accelerated tax depreciation deduction benefits are to be passed back to customers. Potential refunds of other deferred taxes will be determined by our state regulators. Our state regulatory commissions have or are in the process of issuing procedural orders directing how the tax law changes are to be reflected in our utility customer rates.</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63500</wp:posOffset>
            </wp:positionV>
            <wp:extent cx="6114415" cy="514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114415" cy="51435"/>
                    </a:xfrm>
                    <a:prstGeom prst="rect">
                      <a:avLst/>
                    </a:prstGeom>
                    <a:noFill/>
                  </pic:spPr>
                </pic:pic>
              </a:graphicData>
            </a:graphic>
          </wp:anchor>
        </w:drawing>
      </w:r>
    </w:p>
    <w:p>
      <w:pPr>
        <w:sectPr>
          <w:pgSz w:w="11900" w:h="16838" w:orient="portrait"/>
          <w:cols w:equalWidth="0" w:num="1">
            <w:col w:w="9560"/>
          </w:cols>
          <w:pgMar w:left="1220" w:top="118" w:right="1119" w:bottom="1440" w:gutter="0" w:footer="0" w:header="0"/>
        </w:sectPr>
      </w:pPr>
    </w:p>
    <w:bookmarkStart w:id="29" w:name="page30"/>
    <w:bookmarkEnd w:id="29"/>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AQUA AMERICA, INC. AND SUBSIDIARIES NOTES TO CONSOLIDATED FINANCIAL STATEMENTS (continued) (In thousands of dollars, except per share amounts) (UNAUDITED)</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Note 16 – </w:t>
      </w:r>
      <w:r>
        <w:rPr>
          <w:rFonts w:ascii="Arial" w:cs="Arial" w:eastAsia="Arial" w:hAnsi="Arial"/>
          <w:sz w:val="22"/>
          <w:szCs w:val="22"/>
          <w:b w:val="1"/>
          <w:bCs w:val="1"/>
          <w:i w:val="1"/>
          <w:iCs w:val="1"/>
          <w:color w:val="auto"/>
        </w:rPr>
        <w:t>Recent Accounting Pronouncements</w:t>
      </w:r>
    </w:p>
    <w:p>
      <w:pPr>
        <w:spacing w:after="0" w:line="239" w:lineRule="exact"/>
        <w:rPr>
          <w:sz w:val="20"/>
          <w:szCs w:val="20"/>
          <w:color w:val="auto"/>
        </w:rPr>
      </w:pPr>
    </w:p>
    <w:p>
      <w:pPr>
        <w:spacing w:after="0" w:line="277" w:lineRule="auto"/>
        <w:rPr>
          <w:sz w:val="20"/>
          <w:szCs w:val="20"/>
          <w:color w:val="auto"/>
        </w:rPr>
      </w:pPr>
      <w:r>
        <w:rPr>
          <w:rFonts w:ascii="Arial" w:cs="Arial" w:eastAsia="Arial" w:hAnsi="Arial"/>
          <w:sz w:val="19"/>
          <w:szCs w:val="19"/>
          <w:color w:val="auto"/>
        </w:rPr>
        <w:t>In August 2018, the FASB issued updated accounting guidance on accounting for cloud computing arrangements. The updated guidance requires entities that are customers in cloud computing arrangements to defer implementation costs if they would be capitalized by the entity in software licensing arrangements under the internal-use software guidance. The guidance may be applied retrospectively or prospectively to implementation costs incurred after the date of adoption. The updated accounting guidance is effective for fiscal years beginning after December 15, 2019 and interim periods within those fiscal years. The Company is evaluating the requirements of the updated guidance to determine the impact of adoption.</w:t>
      </w:r>
    </w:p>
    <w:p>
      <w:pPr>
        <w:spacing w:after="0" w:line="180" w:lineRule="exact"/>
        <w:rPr>
          <w:sz w:val="20"/>
          <w:szCs w:val="20"/>
          <w:color w:val="auto"/>
        </w:rPr>
      </w:pPr>
    </w:p>
    <w:p>
      <w:pPr>
        <w:ind w:right="140"/>
        <w:spacing w:after="0" w:line="279" w:lineRule="auto"/>
        <w:rPr>
          <w:sz w:val="20"/>
          <w:szCs w:val="20"/>
          <w:color w:val="auto"/>
        </w:rPr>
      </w:pPr>
      <w:r>
        <w:rPr>
          <w:rFonts w:ascii="Arial" w:cs="Arial" w:eastAsia="Arial" w:hAnsi="Arial"/>
          <w:sz w:val="19"/>
          <w:szCs w:val="19"/>
          <w:color w:val="auto"/>
        </w:rPr>
        <w:t>In August 2018, the FASB issued updated accounting guidance, which modifies the disclosures required for defined benefit pension and other postretirement benefit plans. The modifications in this update remove disclosures that are no longer considered cost beneficial, clarify the specific requirements of disclosures, and add disclosure requirements identified as relevant. The updated accounting guidance is effective for fiscal years ending after December 15, 2020, with early adoption available. The Company is evaluating the requirements of the updated guidance to determine the impact of adoption.</w:t>
      </w:r>
    </w:p>
    <w:p>
      <w:pPr>
        <w:spacing w:after="0" w:line="178" w:lineRule="exact"/>
        <w:rPr>
          <w:sz w:val="20"/>
          <w:szCs w:val="20"/>
          <w:color w:val="auto"/>
        </w:rPr>
      </w:pPr>
    </w:p>
    <w:p>
      <w:pPr>
        <w:ind w:right="80"/>
        <w:spacing w:after="0" w:line="279" w:lineRule="auto"/>
        <w:rPr>
          <w:sz w:val="20"/>
          <w:szCs w:val="20"/>
          <w:color w:val="auto"/>
        </w:rPr>
      </w:pPr>
      <w:r>
        <w:rPr>
          <w:rFonts w:ascii="Arial" w:cs="Arial" w:eastAsia="Arial" w:hAnsi="Arial"/>
          <w:sz w:val="19"/>
          <w:szCs w:val="19"/>
          <w:color w:val="auto"/>
        </w:rPr>
        <w:t>In August 2018, the FASB issued updated accounting guidance, which modifies the disclosure requirements on fair value measurements. The modifications in this update eliminates, amends, and adds disclosure requirements for fair value measurements, which is expected to reduce costs for preparers while providing more decision-useful information for financial statement users. The updated accounting guidance is effective for fiscal years ending after December 15, 2019, with early adoption available. The Company is evaluating the requirements of the updated guidance to determine the impact of adoption.</w:t>
      </w:r>
    </w:p>
    <w:p>
      <w:pPr>
        <w:spacing w:after="0" w:line="178" w:lineRule="exact"/>
        <w:rPr>
          <w:sz w:val="20"/>
          <w:szCs w:val="20"/>
          <w:color w:val="auto"/>
        </w:rPr>
      </w:pPr>
    </w:p>
    <w:p>
      <w:pPr>
        <w:ind w:right="40"/>
        <w:spacing w:after="0" w:line="272" w:lineRule="auto"/>
        <w:rPr>
          <w:sz w:val="20"/>
          <w:szCs w:val="20"/>
          <w:color w:val="auto"/>
        </w:rPr>
      </w:pPr>
      <w:r>
        <w:rPr>
          <w:rFonts w:ascii="Arial" w:cs="Arial" w:eastAsia="Arial" w:hAnsi="Arial"/>
          <w:sz w:val="19"/>
          <w:szCs w:val="19"/>
          <w:color w:val="auto"/>
        </w:rPr>
        <w:t>In March 2017, the FASB issued updated accounting guidance on the presentation of net periodic pension and postretirement benefit cost (net benefit cost). Historically, net benefit cost is reported as an employee cost within operating income, net of amounts capitalized. The guidance requires the bifurcation of net benefit cost. The service cost component will be presented with other employee compensation costs in operating income and the other components of net benefit cost will be reported separately outside of operating income, and will not be eligible for capitalization. The guidance is effective for annual reporting periods beginning after December 15, 2017, and interim periods within that reporting period, and is to be applied retrospectively for the presentation of the service cost component and the other components of net benefit cost, and on a prospective basis for the capitalization of only the service cost component of net benefit cost. On January 1, 2018, the Company adopted the updated guidance, which did not have a material impact on its results of operations or financial position, and resulted in the reclassification, for the three and nine months ended September 30, 2017, of $1,238 and $3,714, respectively, for the other components of net benefit cost from operations and maintenance expense to other in the consolidated statements of net income.</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63500</wp:posOffset>
            </wp:positionV>
            <wp:extent cx="6114415" cy="514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114415" cy="51435"/>
                    </a:xfrm>
                    <a:prstGeom prst="rect">
                      <a:avLst/>
                    </a:prstGeom>
                    <a:noFill/>
                  </pic:spPr>
                </pic:pic>
              </a:graphicData>
            </a:graphic>
          </wp:anchor>
        </w:drawing>
      </w:r>
    </w:p>
    <w:p>
      <w:pPr>
        <w:sectPr>
          <w:pgSz w:w="11900" w:h="16838" w:orient="portrait"/>
          <w:cols w:equalWidth="0" w:num="1">
            <w:col w:w="9540"/>
          </w:cols>
          <w:pgMar w:left="1220" w:top="118" w:right="1139" w:bottom="1440" w:gutter="0" w:footer="0" w:header="0"/>
        </w:sectPr>
      </w:pPr>
    </w:p>
    <w:bookmarkStart w:id="30" w:name="page31"/>
    <w:bookmarkEnd w:id="30"/>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9" w:lineRule="exact"/>
        <w:rPr>
          <w:sz w:val="20"/>
          <w:szCs w:val="20"/>
          <w:color w:val="auto"/>
        </w:rPr>
      </w:pPr>
    </w:p>
    <w:p>
      <w:pPr>
        <w:jc w:val="center"/>
        <w:ind w:left="1240" w:right="1540"/>
        <w:spacing w:after="0"/>
        <w:rPr>
          <w:sz w:val="20"/>
          <w:szCs w:val="20"/>
          <w:color w:val="auto"/>
        </w:rPr>
      </w:pPr>
      <w:r>
        <w:rPr>
          <w:rFonts w:ascii="Arial" w:cs="Arial" w:eastAsia="Arial" w:hAnsi="Arial"/>
          <w:sz w:val="22"/>
          <w:szCs w:val="22"/>
          <w:color w:val="auto"/>
        </w:rPr>
        <w:t>AQUA AMERICA, INC. AND SUBSIDIARIES NOTES TO CONSOLIDATED FINANCIAL STATEMENTS (continued) (In thousands of dollars, except per share amounts) (UNAUDITED)</w:t>
      </w:r>
    </w:p>
    <w:p>
      <w:pPr>
        <w:spacing w:after="0" w:line="200" w:lineRule="exact"/>
        <w:rPr>
          <w:sz w:val="20"/>
          <w:szCs w:val="20"/>
          <w:color w:val="auto"/>
        </w:rPr>
      </w:pPr>
    </w:p>
    <w:p>
      <w:pPr>
        <w:spacing w:after="0" w:line="239" w:lineRule="exact"/>
        <w:rPr>
          <w:sz w:val="20"/>
          <w:szCs w:val="20"/>
          <w:color w:val="auto"/>
        </w:rPr>
      </w:pPr>
    </w:p>
    <w:p>
      <w:pPr>
        <w:ind w:right="20"/>
        <w:spacing w:after="0" w:line="273" w:lineRule="auto"/>
        <w:rPr>
          <w:sz w:val="20"/>
          <w:szCs w:val="20"/>
          <w:color w:val="auto"/>
        </w:rPr>
      </w:pPr>
      <w:r>
        <w:rPr>
          <w:rFonts w:ascii="Arial" w:cs="Arial" w:eastAsia="Arial" w:hAnsi="Arial"/>
          <w:sz w:val="19"/>
          <w:szCs w:val="19"/>
          <w:color w:val="auto"/>
        </w:rPr>
        <w:t>In January 2017, the FASB issued updated accounting guidance that provides a new framework for determining whether transactions should be accounted for as acquisitions (or disposals) of assets or businesses. This update creates an initial screening test for which an entity would evaluate if substantially all the fair value of the gross assets acquired (or disposed of) is concentrated in a single identifiable asset or a group of similar identifiable assets. If this threshold is met, the set of assets is not considered a business; however, if the threshold is not met, the entity evaluates whether the set of assets meets the requirement that a business included, at a minimum, an input and a substantive process that together significantly contribute to the ability to create outputs. The update also narrows the definition of outputs by more closely aligning it with how outputs are described in the new revenue guidance. The updated accounting guidance is effective for fiscal years beginning after December 15, 2017, and interim periods within those years, with early adoption permitted. On January 1, 2018, the Company adopted the updated guidance.</w:t>
      </w:r>
    </w:p>
    <w:p>
      <w:pPr>
        <w:spacing w:after="0" w:line="183" w:lineRule="exact"/>
        <w:rPr>
          <w:sz w:val="20"/>
          <w:szCs w:val="20"/>
          <w:color w:val="auto"/>
        </w:rPr>
      </w:pPr>
    </w:p>
    <w:p>
      <w:pPr>
        <w:spacing w:after="0" w:line="274" w:lineRule="auto"/>
        <w:rPr>
          <w:sz w:val="20"/>
          <w:szCs w:val="20"/>
          <w:color w:val="auto"/>
        </w:rPr>
      </w:pPr>
      <w:r>
        <w:rPr>
          <w:rFonts w:ascii="Arial" w:cs="Arial" w:eastAsia="Arial" w:hAnsi="Arial"/>
          <w:sz w:val="19"/>
          <w:szCs w:val="19"/>
          <w:color w:val="auto"/>
        </w:rPr>
        <w:t>In June 2016, the FASB issued updated accounting guidance on accounting for impairments of financial instruments, including trade receivables, which requires companies to estimate expected credit losses on trade receivables over their contractual life. Historically, companies reserve for expected credit losses by applying historical loss percentages to respective aging categories. Under the updated accounting guidance, companies will use a forward-looking methodology that incorporates lifetime expected credit losses, which will result in an allowance for expected credit losses for receivables that are either current or not yet due, which historically have not been reserved for. The updated accounting guidance is effective for fiscal years beginning after December 15, 2019, and interim periods within those fiscal years, with early adoption available. The Company is evaluating the requirements of the updated guidance to determine the impact of adoption.</w:t>
      </w:r>
    </w:p>
    <w:p>
      <w:pPr>
        <w:spacing w:after="0" w:line="186" w:lineRule="exact"/>
        <w:rPr>
          <w:sz w:val="20"/>
          <w:szCs w:val="20"/>
          <w:color w:val="auto"/>
        </w:rPr>
      </w:pPr>
    </w:p>
    <w:p>
      <w:pPr>
        <w:ind w:right="80"/>
        <w:spacing w:after="0" w:line="274" w:lineRule="auto"/>
        <w:rPr>
          <w:sz w:val="20"/>
          <w:szCs w:val="20"/>
          <w:color w:val="auto"/>
        </w:rPr>
      </w:pPr>
      <w:r>
        <w:rPr>
          <w:rFonts w:ascii="Arial" w:cs="Arial" w:eastAsia="Arial" w:hAnsi="Arial"/>
          <w:sz w:val="19"/>
          <w:szCs w:val="19"/>
          <w:color w:val="auto"/>
        </w:rPr>
        <w:t>In February 2016, the FASB issued updated accounting guidance on accounting for leases, which requires lessees to establish a right-of-use asset and a lease liability on the balance sheet for all leases with terms longer than 12 months. For income statement purposes, leases will be classified as either operating or finance. Operating leases will result in straight-line expense while finance leases will result in a front-loaded expense pattern. The updated accounting guidance is effective for fiscal years beginning after December 15, 2018, and interim periods within those fiscal years, with early adoption available. The Company is implementing a process to address the requirements of the updated guidance and has not yet quantified the impact that the adoption of the updated accounting guidance on accounting for leases will have on the Company’s consolidated balance sheet due to the recognition of right-of-use assets and lease liabilities.</w:t>
      </w:r>
    </w:p>
    <w:p>
      <w:pPr>
        <w:spacing w:after="0" w:line="186" w:lineRule="exact"/>
        <w:rPr>
          <w:sz w:val="20"/>
          <w:szCs w:val="20"/>
          <w:color w:val="auto"/>
        </w:rPr>
      </w:pPr>
    </w:p>
    <w:p>
      <w:pPr>
        <w:spacing w:after="0" w:line="274" w:lineRule="auto"/>
        <w:rPr>
          <w:sz w:val="20"/>
          <w:szCs w:val="20"/>
          <w:color w:val="auto"/>
        </w:rPr>
      </w:pPr>
      <w:r>
        <w:rPr>
          <w:rFonts w:ascii="Arial" w:cs="Arial" w:eastAsia="Arial" w:hAnsi="Arial"/>
          <w:sz w:val="19"/>
          <w:szCs w:val="19"/>
          <w:color w:val="auto"/>
        </w:rPr>
        <w:t>In January 2016, the FASB issued updated accounting guidance on the recognition and measurement of financial assets and financial liabilities, which amends certain aspects of recognition, measurement, presentation, and disclosure of financial instruments, including the requirement to measure certain equity investments at fair value with changes in fair value recognized in net income. The updated guidance is effective for interim and annual periods beginning after December 31, 2017. On January 1, 2018, the Company adopted the updated guidance, which did not have a material impact on its results of operations or financial position, and resulted in the recognition of $860 of previous unrealized gains, which was recorded as an adjustment to beginning retained earnings (refer to the presentation of “cumulative effect of change in accounting principle – financial instruments” on the Company’s consolidated statement of equity).</w:t>
      </w: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63500</wp:posOffset>
            </wp:positionV>
            <wp:extent cx="6114415" cy="514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114415" cy="51435"/>
                    </a:xfrm>
                    <a:prstGeom prst="rect">
                      <a:avLst/>
                    </a:prstGeom>
                    <a:noFill/>
                  </pic:spPr>
                </pic:pic>
              </a:graphicData>
            </a:graphic>
          </wp:anchor>
        </w:drawing>
      </w:r>
    </w:p>
    <w:p>
      <w:pPr>
        <w:sectPr>
          <w:pgSz w:w="11900" w:h="16838" w:orient="portrait"/>
          <w:cols w:equalWidth="0" w:num="1">
            <w:col w:w="9520"/>
          </w:cols>
          <w:pgMar w:left="1220" w:top="118" w:right="1159" w:bottom="1440" w:gutter="0" w:footer="0" w:header="0"/>
        </w:sectPr>
      </w:pPr>
    </w:p>
    <w:bookmarkStart w:id="31" w:name="page32"/>
    <w:bookmarkEnd w:id="31"/>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9" w:lineRule="exact"/>
        <w:rPr>
          <w:sz w:val="20"/>
          <w:szCs w:val="20"/>
          <w:color w:val="auto"/>
        </w:rPr>
      </w:pPr>
    </w:p>
    <w:p>
      <w:pPr>
        <w:jc w:val="center"/>
        <w:ind w:left="1260" w:right="1520"/>
        <w:spacing w:after="0"/>
        <w:rPr>
          <w:sz w:val="20"/>
          <w:szCs w:val="20"/>
          <w:color w:val="auto"/>
        </w:rPr>
      </w:pPr>
      <w:r>
        <w:rPr>
          <w:rFonts w:ascii="Arial" w:cs="Arial" w:eastAsia="Arial" w:hAnsi="Arial"/>
          <w:sz w:val="22"/>
          <w:szCs w:val="22"/>
          <w:color w:val="auto"/>
        </w:rPr>
        <w:t>AQUA AMERICA, INC. AND SUBSIDIARIES NOTES TO CONSOLIDATED FINANCIAL STATEMENTS (continued) (In thousands of dollars, except per share amounts) (UNAUDITED)</w:t>
      </w:r>
    </w:p>
    <w:p>
      <w:pPr>
        <w:spacing w:after="0" w:line="200" w:lineRule="exact"/>
        <w:rPr>
          <w:sz w:val="20"/>
          <w:szCs w:val="20"/>
          <w:color w:val="auto"/>
        </w:rPr>
      </w:pPr>
    </w:p>
    <w:p>
      <w:pPr>
        <w:spacing w:after="0" w:line="239" w:lineRule="exact"/>
        <w:rPr>
          <w:sz w:val="20"/>
          <w:szCs w:val="20"/>
          <w:color w:val="auto"/>
        </w:rPr>
      </w:pPr>
    </w:p>
    <w:p>
      <w:pPr>
        <w:ind w:right="140"/>
        <w:spacing w:after="0" w:line="273" w:lineRule="auto"/>
        <w:rPr>
          <w:sz w:val="20"/>
          <w:szCs w:val="20"/>
          <w:color w:val="auto"/>
        </w:rPr>
      </w:pPr>
      <w:r>
        <w:rPr>
          <w:rFonts w:ascii="Arial" w:cs="Arial" w:eastAsia="Arial" w:hAnsi="Arial"/>
          <w:sz w:val="19"/>
          <w:szCs w:val="19"/>
          <w:color w:val="auto"/>
        </w:rPr>
        <w:t>In May 2014, the FASB issued updated accounting guidance on recognizing revenue from contracts with customers, which outlines a single comprehensive model that an entity will apply to determine the measurement of revenue and timing of recognition. The underlying principle is that an entity will recognize revenue to depict the transfer of goods or services to customers at an amount that the entity expects to be entitled to in exchange for those goods or services. In 2017, the American Institute of Certified Public Accountants (“AICPA”) power and utility entities revenue recognition task force determined that contributions in aid of construction are not in the scope of the new standard, which was approved by the AICPA’s revenue recognition working group. The Company implemented the updated guidance using the modified retrospective approach on January 1, 2018, which did not result in a change in the Company’s measurement of revenue, and reached the following conclusions:</w:t>
      </w:r>
    </w:p>
    <w:p>
      <w:pPr>
        <w:spacing w:after="0" w:line="283" w:lineRule="exact"/>
        <w:rPr>
          <w:sz w:val="20"/>
          <w:szCs w:val="20"/>
          <w:color w:val="auto"/>
        </w:rPr>
      </w:pPr>
    </w:p>
    <w:p>
      <w:pPr>
        <w:ind w:left="640" w:hanging="315"/>
        <w:spacing w:after="0" w:line="297" w:lineRule="auto"/>
        <w:tabs>
          <w:tab w:leader="none" w:pos="640" w:val="left"/>
        </w:tabs>
        <w:numPr>
          <w:ilvl w:val="0"/>
          <w:numId w:val="5"/>
        </w:numPr>
        <w:rPr>
          <w:rFonts w:ascii="Arial" w:cs="Arial" w:eastAsia="Arial" w:hAnsi="Arial"/>
          <w:sz w:val="19"/>
          <w:szCs w:val="19"/>
          <w:color w:val="auto"/>
        </w:rPr>
      </w:pPr>
      <w:r>
        <w:rPr>
          <w:rFonts w:ascii="Arial" w:cs="Arial" w:eastAsia="Arial" w:hAnsi="Arial"/>
          <w:sz w:val="19"/>
          <w:szCs w:val="19"/>
          <w:color w:val="auto"/>
        </w:rPr>
        <w:t>The Company’s tariff sale contracts, including those with lower credit quality customers, are generally deemed to be probable of collection, and thus the timing of revenue recognition will continue to be concurrent with the delivery of water and wastewater services, consistent with our current practice.</w:t>
      </w:r>
    </w:p>
    <w:p>
      <w:pPr>
        <w:spacing w:after="0" w:line="26" w:lineRule="exact"/>
        <w:rPr>
          <w:rFonts w:ascii="Arial" w:cs="Arial" w:eastAsia="Arial" w:hAnsi="Arial"/>
          <w:sz w:val="19"/>
          <w:szCs w:val="19"/>
          <w:color w:val="auto"/>
        </w:rPr>
      </w:pPr>
    </w:p>
    <w:p>
      <w:pPr>
        <w:ind w:left="640" w:right="240" w:hanging="315"/>
        <w:spacing w:after="0" w:line="251" w:lineRule="auto"/>
        <w:tabs>
          <w:tab w:leader="none" w:pos="640" w:val="left"/>
        </w:tabs>
        <w:numPr>
          <w:ilvl w:val="0"/>
          <w:numId w:val="5"/>
        </w:numPr>
        <w:rPr>
          <w:rFonts w:ascii="Arial" w:cs="Arial" w:eastAsia="Arial" w:hAnsi="Arial"/>
          <w:sz w:val="22"/>
          <w:szCs w:val="22"/>
          <w:color w:val="auto"/>
        </w:rPr>
      </w:pPr>
      <w:r>
        <w:rPr>
          <w:rFonts w:ascii="Arial" w:cs="Arial" w:eastAsia="Arial" w:hAnsi="Arial"/>
          <w:sz w:val="22"/>
          <w:szCs w:val="22"/>
          <w:color w:val="auto"/>
        </w:rPr>
        <w:t>Contributions in aid of construction are outside of the scope of the standard, and will continue to be accounted for as a noncurrent liability.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63500</wp:posOffset>
            </wp:positionV>
            <wp:extent cx="6114415" cy="514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114415" cy="51435"/>
                    </a:xfrm>
                    <a:prstGeom prst="rect">
                      <a:avLst/>
                    </a:prstGeom>
                    <a:noFill/>
                  </pic:spPr>
                </pic:pic>
              </a:graphicData>
            </a:graphic>
          </wp:anchor>
        </w:drawing>
      </w:r>
    </w:p>
    <w:p>
      <w:pPr>
        <w:sectPr>
          <w:pgSz w:w="11900" w:h="16838" w:orient="portrait"/>
          <w:cols w:equalWidth="0" w:num="1">
            <w:col w:w="9500"/>
          </w:cols>
          <w:pgMar w:left="1220" w:top="118" w:right="1179" w:bottom="1440" w:gutter="0" w:footer="0" w:header="0"/>
        </w:sectPr>
      </w:pPr>
    </w:p>
    <w:bookmarkStart w:id="32" w:name="page33"/>
    <w:bookmarkEnd w:id="32"/>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AQUA AMERICA, INC. AND SUBSIDIARIES</w:t>
      </w:r>
    </w:p>
    <w:p>
      <w:pPr>
        <w:spacing w:after="0" w:line="215" w:lineRule="exact"/>
        <w:rPr>
          <w:sz w:val="20"/>
          <w:szCs w:val="20"/>
          <w:color w:val="auto"/>
        </w:rPr>
      </w:pPr>
    </w:p>
    <w:p>
      <w:pPr>
        <w:jc w:val="center"/>
        <w:ind w:left="1240" w:right="1960"/>
        <w:spacing w:after="0" w:line="297" w:lineRule="auto"/>
        <w:rPr>
          <w:sz w:val="20"/>
          <w:szCs w:val="20"/>
          <w:color w:val="auto"/>
        </w:rPr>
      </w:pPr>
      <w:r>
        <w:rPr>
          <w:rFonts w:ascii="Arial" w:cs="Arial" w:eastAsia="Arial" w:hAnsi="Arial"/>
          <w:sz w:val="19"/>
          <w:szCs w:val="19"/>
          <w:color w:val="auto"/>
        </w:rPr>
        <w:t>MANAGEMENT’S DISCUSSION AND ANALYSIS OF FINANCIAL CONDITION AND RESULTS OF OPERATIONS (In thousands of dollars, except per share amounts)</w:t>
      </w:r>
    </w:p>
    <w:p>
      <w:pPr>
        <w:spacing w:after="0" w:line="161" w:lineRule="exact"/>
        <w:rPr>
          <w:sz w:val="20"/>
          <w:szCs w:val="20"/>
          <w:color w:val="auto"/>
        </w:rPr>
      </w:pPr>
    </w:p>
    <w:p>
      <w:pPr>
        <w:spacing w:after="0"/>
        <w:rPr>
          <w:sz w:val="20"/>
          <w:szCs w:val="20"/>
          <w:color w:val="auto"/>
        </w:rPr>
      </w:pPr>
      <w:r>
        <w:rPr>
          <w:rFonts w:ascii="Arial" w:cs="Arial" w:eastAsia="Arial" w:hAnsi="Arial"/>
          <w:sz w:val="22"/>
          <w:szCs w:val="22"/>
          <w:color w:val="auto"/>
        </w:rPr>
        <w:t>Item 2 – Management’s Discussion and Analysis of Financial Condition and Results of Operations</w:t>
      </w:r>
    </w:p>
    <w:p>
      <w:pPr>
        <w:spacing w:after="0" w:line="233" w:lineRule="exact"/>
        <w:rPr>
          <w:sz w:val="20"/>
          <w:szCs w:val="20"/>
          <w:color w:val="auto"/>
        </w:rPr>
      </w:pPr>
    </w:p>
    <w:p>
      <w:pPr>
        <w:jc w:val="center"/>
        <w:ind w:right="40"/>
        <w:spacing w:after="0"/>
        <w:rPr>
          <w:sz w:val="20"/>
          <w:szCs w:val="20"/>
          <w:color w:val="auto"/>
        </w:rPr>
      </w:pPr>
      <w:r>
        <w:rPr>
          <w:rFonts w:ascii="Arial" w:cs="Arial" w:eastAsia="Arial" w:hAnsi="Arial"/>
          <w:sz w:val="22"/>
          <w:szCs w:val="22"/>
          <w:u w:val="single" w:color="auto"/>
          <w:color w:val="auto"/>
        </w:rPr>
        <w:t>Forward-looking Statements</w:t>
      </w:r>
    </w:p>
    <w:p>
      <w:pPr>
        <w:spacing w:after="0" w:line="233" w:lineRule="exact"/>
        <w:rPr>
          <w:sz w:val="20"/>
          <w:szCs w:val="20"/>
          <w:color w:val="auto"/>
        </w:rPr>
      </w:pPr>
    </w:p>
    <w:p>
      <w:pPr>
        <w:spacing w:after="0" w:line="268" w:lineRule="auto"/>
        <w:rPr>
          <w:sz w:val="20"/>
          <w:szCs w:val="20"/>
          <w:color w:val="auto"/>
        </w:rPr>
      </w:pPr>
      <w:r>
        <w:rPr>
          <w:rFonts w:ascii="Arial" w:cs="Arial" w:eastAsia="Arial" w:hAnsi="Arial"/>
          <w:sz w:val="19"/>
          <w:szCs w:val="19"/>
          <w:i w:val="1"/>
          <w:iCs w:val="1"/>
          <w:color w:val="auto"/>
        </w:rPr>
        <w:t>This Management’s Discussion and Analysis of Financial Condition and Results of Operations and other sections of this Quarterly Report contain, in addition to historical information, forward-looking statements within the meaning of the Private Securities Litigation Reform Act of 1995. These forward-looking statements address, among other things: the projected impact of various legal proceedings; the projected effects of recent accounting pronouncements; prospects, plans, objectives, expectations and beliefs of management, as well as information contained in this report where statements are preceded by, followed by or include the words “believes,” “expects,” “estimates,” “anticipates,” “plans,” “future,” “potential,” “probably,” “predictions,” “intends,” “will,” “continue,” “in the event” or the negative of such terms or similar expressions. Forward-looking statements are based on a number of assumptions concerning future events, and are subject to a number of risks, uncertainties and other factors, many of which are outside our control, which could cause actual results to differ materially from those expressed or implied by such</w:t>
      </w:r>
    </w:p>
    <w:p>
      <w:pPr>
        <w:spacing w:after="0" w:line="8" w:lineRule="exact"/>
        <w:rPr>
          <w:sz w:val="20"/>
          <w:szCs w:val="20"/>
          <w:color w:val="auto"/>
        </w:rPr>
      </w:pPr>
    </w:p>
    <w:p>
      <w:pPr>
        <w:spacing w:after="0" w:line="243" w:lineRule="auto"/>
        <w:rPr>
          <w:sz w:val="20"/>
          <w:szCs w:val="20"/>
          <w:color w:val="auto"/>
        </w:rPr>
      </w:pPr>
      <w:r>
        <w:rPr>
          <w:rFonts w:ascii="Arial" w:cs="Arial" w:eastAsia="Arial" w:hAnsi="Arial"/>
          <w:sz w:val="21"/>
          <w:szCs w:val="21"/>
          <w:i w:val="1"/>
          <w:iCs w:val="1"/>
          <w:color w:val="auto"/>
        </w:rPr>
        <w:t>statements. These risks and uncertainties include, among others: the effects of regulation, abnormal weather, changes in capital requirements and funding, acquisitions, changes to the capital markets, and our ability to assimilate acquired operations, as well as those risks, uncertainties and other factors discussed in our Annual Report on Form 10-K for the fiscal year ended December 31, 2017 under the captions “Risk Factors” and “Management’s Discussion and Analysis of Financial Condition and Results of Operations” and elsewhere in such report. As a result, readers are cautioned not to place undue reliance on any forward-looking statements. We undertake no obligation to update or revise forward-looking statements, whether as a result of new information, future events or otherwise.</w:t>
      </w:r>
    </w:p>
    <w:p>
      <w:pPr>
        <w:spacing w:after="0" w:line="214" w:lineRule="exact"/>
        <w:rPr>
          <w:sz w:val="20"/>
          <w:szCs w:val="20"/>
          <w:color w:val="auto"/>
        </w:rPr>
      </w:pPr>
    </w:p>
    <w:p>
      <w:pPr>
        <w:jc w:val="center"/>
        <w:ind w:right="40"/>
        <w:spacing w:after="0"/>
        <w:rPr>
          <w:sz w:val="20"/>
          <w:szCs w:val="20"/>
          <w:color w:val="auto"/>
        </w:rPr>
      </w:pPr>
      <w:r>
        <w:rPr>
          <w:rFonts w:ascii="Arial" w:cs="Arial" w:eastAsia="Arial" w:hAnsi="Arial"/>
          <w:sz w:val="22"/>
          <w:szCs w:val="22"/>
          <w:u w:val="single" w:color="auto"/>
          <w:color w:val="auto"/>
        </w:rPr>
        <w:t>General Information</w:t>
      </w:r>
    </w:p>
    <w:p>
      <w:pPr>
        <w:spacing w:after="0" w:line="233" w:lineRule="exact"/>
        <w:rPr>
          <w:sz w:val="20"/>
          <w:szCs w:val="20"/>
          <w:color w:val="auto"/>
        </w:rPr>
      </w:pPr>
    </w:p>
    <w:p>
      <w:pPr>
        <w:ind w:right="20"/>
        <w:spacing w:after="0" w:line="272" w:lineRule="auto"/>
        <w:rPr>
          <w:sz w:val="20"/>
          <w:szCs w:val="20"/>
          <w:color w:val="auto"/>
        </w:rPr>
      </w:pPr>
      <w:r>
        <w:rPr>
          <w:rFonts w:ascii="Arial" w:cs="Arial" w:eastAsia="Arial" w:hAnsi="Arial"/>
          <w:sz w:val="19"/>
          <w:szCs w:val="19"/>
          <w:color w:val="auto"/>
        </w:rPr>
        <w:t>Aqua America, Inc. (“we”, “us”, “our” or the “Company”), a Pennsylvania corporation, is the holding company for regulated utilities providing water or wastewater services to what we estimate to be almost three million people in Pennsylvania, Ohio, Texas, Illinois, North Carolina, New Jersey, Indiana, and Virginia. Our largest operating subsidiary, Aqua Pennsylvania, provides water or wastewater services to approximately one-half of the total number of people we serve, who are located in the suburban areas in counties north and west of the City of Philadelphia and in 27 other counties in Pennsylvania. Our other regulated utility subsidiaries provide similar services in seven other states. In addition, the Company’s market-based activities are conducted through Aqua Infrastructure, LLC and Aqua Resources, Inc. Aqua Infrastructure provides non-utility raw water supply services for firms in the natural gas drilling industry. Aqua Resources provides water and wastewater service through operating and maintenance contracts with municipal authorities and other parties close to our utility companies’ service territories; and offers, through a third-party, water and sewer service line protection solutions and repair services to households.</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63500</wp:posOffset>
            </wp:positionV>
            <wp:extent cx="6114415" cy="514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114415" cy="51435"/>
                    </a:xfrm>
                    <a:prstGeom prst="rect">
                      <a:avLst/>
                    </a:prstGeom>
                    <a:noFill/>
                  </pic:spPr>
                </pic:pic>
              </a:graphicData>
            </a:graphic>
          </wp:anchor>
        </w:drawing>
      </w:r>
    </w:p>
    <w:p>
      <w:pPr>
        <w:sectPr>
          <w:pgSz w:w="11900" w:h="16838" w:orient="portrait"/>
          <w:cols w:equalWidth="0" w:num="1">
            <w:col w:w="9540"/>
          </w:cols>
          <w:pgMar w:left="1220" w:top="118" w:right="1139" w:bottom="1440" w:gutter="0" w:footer="0" w:header="0"/>
        </w:sectPr>
      </w:pPr>
    </w:p>
    <w:bookmarkStart w:id="33" w:name="page34"/>
    <w:bookmarkEnd w:id="33"/>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34"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AQUA AMERICA, INC. AND SUBSIDIARIES</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MANAGEMENT’S DISCUSSION AND ANALYSIS OF FINANCIAL CONDITION AND RESULTS OF OPERATIONS (continued) (In thousands of dollars, except per share amounts)</w:t>
      </w:r>
    </w:p>
    <w:p>
      <w:pPr>
        <w:spacing w:after="0" w:line="213" w:lineRule="exact"/>
        <w:rPr>
          <w:sz w:val="20"/>
          <w:szCs w:val="20"/>
          <w:color w:val="auto"/>
        </w:rPr>
      </w:pPr>
    </w:p>
    <w:p>
      <w:pPr>
        <w:spacing w:after="0" w:line="270" w:lineRule="auto"/>
        <w:rPr>
          <w:sz w:val="20"/>
          <w:szCs w:val="20"/>
          <w:color w:val="auto"/>
        </w:rPr>
      </w:pPr>
      <w:r>
        <w:rPr>
          <w:rFonts w:ascii="Arial" w:cs="Arial" w:eastAsia="Arial" w:hAnsi="Arial"/>
          <w:sz w:val="19"/>
          <w:szCs w:val="19"/>
          <w:color w:val="auto"/>
        </w:rPr>
        <w:t>Aqua America, Inc., which prior to its name change in 2004 was known as Philadelphia Suburban Corporation, was formed in 1968 as a holding company for its primary subsidiary, Aqua Pennsylvania, formerly known as Philadelphia Suburban Water Company. In the early 1990s, we embarked on a growth-through-acquisition strategy focused on water and wastewater operations. Our most significant transactions to date have been the merger with Consumers Water Company in 1999, the acquisition of the regulated water and wastewater operations of AquaSource, Inc. in 2003, the acquisition of Heater Utilities, Inc. in 2004, and the acquisition of American Water Works Company, Inc.’s regulated operations in Ohio in 2012. Since the early 1990s, our business strategy has been primarily directed toward the regulated water and wastewater utility industry, where we have more than quadrupled the number of regulated customers we serve, and has extended our regulated operations from southeastern Pennsylvania to include operations in seven other states. The Company seeks to acquire businesses in the U.S. regulated sector, which includes water and wastewater utilities and other regulated utilities, and to opportunistically pursue growth ventures in select market-based activities, such as infrastructure opportunities that are supplementary and complementary to our regulated businesses. On October 22, 2018 the Company entered into an agreement to acquire, from its parent company, a natural gas company consisting of Peoples Natural Gas Company LLC, Peoples Gas Company LLC, and Delta Natural Gas Company Inc. (“Peoples”) expanding the Company’s regulated utility business to include natural gas distribution. We believe the acquisition of Peoples, once consummated, will mark the creation of a new infrastructure company in the states served by the combined company.</w:t>
      </w:r>
    </w:p>
    <w:p>
      <w:pPr>
        <w:spacing w:after="0" w:line="194" w:lineRule="exact"/>
        <w:rPr>
          <w:sz w:val="20"/>
          <w:szCs w:val="20"/>
          <w:color w:val="auto"/>
        </w:rPr>
      </w:pPr>
    </w:p>
    <w:p>
      <w:pPr>
        <w:ind w:right="460"/>
        <w:spacing w:after="0" w:line="251" w:lineRule="auto"/>
        <w:rPr>
          <w:sz w:val="20"/>
          <w:szCs w:val="20"/>
          <w:color w:val="auto"/>
        </w:rPr>
      </w:pPr>
      <w:r>
        <w:rPr>
          <w:rFonts w:ascii="Arial" w:cs="Arial" w:eastAsia="Arial" w:hAnsi="Arial"/>
          <w:sz w:val="22"/>
          <w:szCs w:val="22"/>
          <w:i w:val="1"/>
          <w:iCs w:val="1"/>
          <w:color w:val="auto"/>
        </w:rPr>
        <w:t>The following discussion and analysis of our financial condition and results of operations should be read together with our consolidated financial statements and related notes.</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Financial Condition</w:t>
      </w:r>
    </w:p>
    <w:p>
      <w:pPr>
        <w:spacing w:after="0" w:line="233" w:lineRule="exact"/>
        <w:rPr>
          <w:sz w:val="20"/>
          <w:szCs w:val="20"/>
          <w:color w:val="auto"/>
        </w:rPr>
      </w:pPr>
    </w:p>
    <w:p>
      <w:pPr>
        <w:ind w:right="60"/>
        <w:spacing w:after="0" w:line="275" w:lineRule="auto"/>
        <w:rPr>
          <w:sz w:val="20"/>
          <w:szCs w:val="20"/>
          <w:color w:val="auto"/>
        </w:rPr>
      </w:pPr>
      <w:r>
        <w:rPr>
          <w:rFonts w:ascii="Arial" w:cs="Arial" w:eastAsia="Arial" w:hAnsi="Arial"/>
          <w:sz w:val="19"/>
          <w:szCs w:val="19"/>
          <w:color w:val="auto"/>
        </w:rPr>
        <w:t>During the first nine months of 2018, we incurred $343,219 of capital expenditures, expended $100,026 for the acquisition of water and wastewater utility systems, issued $402,913 of long-term debt, and repaid debt and made sinking fund contributions and other loan repayments of $151,571. The capital expenditures were related to new and replacement water mains, improvements to treatment plants, tanks, hydrants, and service lines, well and booster improvements, and other enhancements and improvements. The issuance of long-term debt was comprised principally of the funds borrowed under our revolving credit facility, and $100,000 of first mortgage bonds issued by Aqua Pennsylvania in June 2018. The proceeds from the first mortgage bonds were used to repay existing indebtedness and for general corporate purposes.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63500</wp:posOffset>
            </wp:positionV>
            <wp:extent cx="6114415" cy="514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114415" cy="51435"/>
                    </a:xfrm>
                    <a:prstGeom prst="rect">
                      <a:avLst/>
                    </a:prstGeom>
                    <a:noFill/>
                  </pic:spPr>
                </pic:pic>
              </a:graphicData>
            </a:graphic>
          </wp:anchor>
        </w:drawing>
      </w:r>
    </w:p>
    <w:p>
      <w:pPr>
        <w:sectPr>
          <w:pgSz w:w="11900" w:h="16838" w:orient="portrait"/>
          <w:cols w:equalWidth="0" w:num="1">
            <w:col w:w="9560"/>
          </w:cols>
          <w:pgMar w:left="1220" w:top="118" w:right="1119" w:bottom="1440" w:gutter="0" w:footer="0" w:header="0"/>
        </w:sectPr>
      </w:pPr>
    </w:p>
    <w:bookmarkStart w:id="34" w:name="page35"/>
    <w:bookmarkEnd w:id="34"/>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34"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AQUA AMERICA, INC. AND SUBSIDIARIES</w:t>
      </w:r>
    </w:p>
    <w:p>
      <w:pPr>
        <w:spacing w:after="0" w:line="233" w:lineRule="exact"/>
        <w:rPr>
          <w:sz w:val="20"/>
          <w:szCs w:val="20"/>
          <w:color w:val="auto"/>
        </w:rPr>
      </w:pPr>
    </w:p>
    <w:p>
      <w:pPr>
        <w:jc w:val="center"/>
        <w:ind w:left="1240" w:right="1420"/>
        <w:spacing w:after="0"/>
        <w:rPr>
          <w:sz w:val="20"/>
          <w:szCs w:val="20"/>
          <w:color w:val="auto"/>
        </w:rPr>
      </w:pPr>
      <w:r>
        <w:rPr>
          <w:rFonts w:ascii="Arial" w:cs="Arial" w:eastAsia="Arial" w:hAnsi="Arial"/>
          <w:sz w:val="22"/>
          <w:szCs w:val="22"/>
          <w:color w:val="auto"/>
        </w:rPr>
        <w:t>MANAGEMENT’S DISCUSSION AND ANALYSIS OF FINANCIAL CONDITION AND RESULTS OF OPERATIONS (continued) (In thousands of dollars, except per share amounts)</w:t>
      </w:r>
    </w:p>
    <w:p>
      <w:pPr>
        <w:spacing w:after="0" w:line="213" w:lineRule="exact"/>
        <w:rPr>
          <w:sz w:val="20"/>
          <w:szCs w:val="20"/>
          <w:color w:val="auto"/>
        </w:rPr>
      </w:pPr>
    </w:p>
    <w:p>
      <w:pPr>
        <w:ind w:right="20"/>
        <w:spacing w:after="0" w:line="270" w:lineRule="auto"/>
        <w:rPr>
          <w:sz w:val="20"/>
          <w:szCs w:val="20"/>
          <w:color w:val="auto"/>
        </w:rPr>
      </w:pPr>
      <w:r>
        <w:rPr>
          <w:rFonts w:ascii="Arial" w:cs="Arial" w:eastAsia="Arial" w:hAnsi="Arial"/>
          <w:sz w:val="19"/>
          <w:szCs w:val="19"/>
          <w:color w:val="auto"/>
        </w:rPr>
        <w:t>Pursuant to the Company’s growth strategy, on October 22, 2018, the Company entered into a purchase agreement with LDC Parent LLC (“Seller”), to acquire its interests in LDC Funding LLC (“LDC”). LDC is the parent of LDC Holdings LLC (“LDC Holdings”), and LDC Holdings is the parent of five natural gas public utility companies, which includes Peoples Natural Gas Company, Peoples Gas Company, and Delta Natural Gas Company as well as other operating subsidiaries. Collectively these businesses are referred to as “Peoples,” a natural gas distribution company headquartered in Pittsburgh, Pennsylvania, serving approximately 740,000 gas utility customers in Western Pennsylvania, West Virginia, and Kentucky. The Company will acquire LDC for $4,275,000, which will be reduced by the amount of outstanding indebtedness at closing, which is estimated to approximate $1,300,000. The Company expects to finance this acquisition and refinance certain debt with a mix of common equity, mandatory convertible equity units, debt financing, which could include senior notes issued in capital markets transactions, term loans or other credit facilities or any combination thereof. On October 23, 2018, the Company entered into interest rate swap agreements which locked in the interest rate for an anticipated $850,000 of future debt issuances related to this acquisition. The interest rate swaps do not qualify for hedge accounting and any changes in the fair value of the swaps will be included in our future earnings. The purchase price for this pending acquisition is subject to certain other adjustments at closing, and is subject to regulatory approval by the United States Federal Trade Commission, and the public utility commissions in Pennsylvania, Kentucky, and West Virginia. This acquisition is expected to close in mid-2019, once regulatory approvals are obtained, and it is anticipated that this transaction will result in the recording of goodwill. In the event that this acquisition is terminated a fee of $120,000 would be payable to the Seller.</w:t>
      </w:r>
    </w:p>
    <w:p>
      <w:pPr>
        <w:spacing w:after="0" w:line="200" w:lineRule="exact"/>
        <w:rPr>
          <w:sz w:val="20"/>
          <w:szCs w:val="20"/>
          <w:color w:val="auto"/>
        </w:rPr>
      </w:pPr>
    </w:p>
    <w:p>
      <w:pPr>
        <w:spacing w:after="0" w:line="235" w:lineRule="exact"/>
        <w:rPr>
          <w:sz w:val="20"/>
          <w:szCs w:val="20"/>
          <w:color w:val="auto"/>
        </w:rPr>
      </w:pPr>
    </w:p>
    <w:p>
      <w:pPr>
        <w:spacing w:after="0" w:line="249" w:lineRule="auto"/>
        <w:rPr>
          <w:sz w:val="20"/>
          <w:szCs w:val="20"/>
          <w:color w:val="auto"/>
        </w:rPr>
      </w:pPr>
      <w:r>
        <w:rPr>
          <w:rFonts w:ascii="Arial" w:cs="Arial" w:eastAsia="Arial" w:hAnsi="Arial"/>
          <w:sz w:val="21"/>
          <w:szCs w:val="21"/>
          <w:color w:val="auto"/>
        </w:rPr>
        <w:t>In July 2018, we completed the acquisition of Manteno, Illinois for $25,000 in cash, which serves approximately 3,800 wastewater customers, and Limerick Township, Pennsylvania for $74,836 in cash, which serves approximately 5,400 wastewater customers. Additionally, in October 2018, we completed the acquisition of Peotone, Illinois for $12,300 in cash, which services approximately 3,000 water and wastewater customers. These acquisitions were funded through the issuance of debt.</w:t>
      </w:r>
    </w:p>
    <w:p>
      <w:pPr>
        <w:spacing w:after="0" w:line="206" w:lineRule="exact"/>
        <w:rPr>
          <w:sz w:val="20"/>
          <w:szCs w:val="20"/>
          <w:color w:val="auto"/>
        </w:rPr>
      </w:pPr>
    </w:p>
    <w:p>
      <w:pPr>
        <w:jc w:val="both"/>
        <w:ind w:right="320"/>
        <w:spacing w:after="0" w:line="297" w:lineRule="auto"/>
        <w:rPr>
          <w:sz w:val="20"/>
          <w:szCs w:val="20"/>
          <w:color w:val="auto"/>
        </w:rPr>
      </w:pPr>
      <w:r>
        <w:rPr>
          <w:rFonts w:ascii="Arial" w:cs="Arial" w:eastAsia="Arial" w:hAnsi="Arial"/>
          <w:sz w:val="19"/>
          <w:szCs w:val="19"/>
          <w:color w:val="auto"/>
        </w:rPr>
        <w:t>At September 30, 2018, we had $4,264 of cash and cash equivalents compared to $4,204 at December 31, 2017. During the first nine months of 2018, we used the proceeds from the issuance of long-term debt and internally generated funds to fund the cash requirements discussed above and to pay dividends.</w:t>
      </w:r>
    </w:p>
    <w:p>
      <w:pPr>
        <w:spacing w:after="0" w:line="161" w:lineRule="exact"/>
        <w:rPr>
          <w:sz w:val="20"/>
          <w:szCs w:val="20"/>
          <w:color w:val="auto"/>
        </w:rPr>
      </w:pPr>
    </w:p>
    <w:p>
      <w:pPr>
        <w:ind w:right="180"/>
        <w:spacing w:after="0" w:line="282" w:lineRule="auto"/>
        <w:rPr>
          <w:sz w:val="20"/>
          <w:szCs w:val="20"/>
          <w:color w:val="auto"/>
        </w:rPr>
      </w:pPr>
      <w:r>
        <w:rPr>
          <w:rFonts w:ascii="Arial" w:cs="Arial" w:eastAsia="Arial" w:hAnsi="Arial"/>
          <w:sz w:val="19"/>
          <w:szCs w:val="19"/>
          <w:color w:val="auto"/>
        </w:rPr>
        <w:t>At September 30, 2018, our $500,000 unsecured revolving credit facility, which expires in June 2023, had $185,517 available for borrowing. At September 30, 2018, we had short-term lines of credit of $135,500, of which $113,811 was available for borrowing. One of our short-term lines of credit is an Aqua Pennsylvania $100,000 364-day unsecured revolving credit facility with four banks, which is used to provide working capital, and as of September 30, 2018, $78,311 was available for borrowing.</w:t>
      </w:r>
    </w:p>
    <w:p>
      <w:pPr>
        <w:spacing w:after="0" w:line="175" w:lineRule="exact"/>
        <w:rPr>
          <w:sz w:val="20"/>
          <w:szCs w:val="20"/>
          <w:color w:val="auto"/>
        </w:rPr>
      </w:pPr>
    </w:p>
    <w:p>
      <w:pPr>
        <w:jc w:val="both"/>
        <w:ind w:right="60"/>
        <w:spacing w:after="0"/>
        <w:rPr>
          <w:sz w:val="20"/>
          <w:szCs w:val="20"/>
          <w:color w:val="auto"/>
        </w:rPr>
      </w:pPr>
      <w:r>
        <w:rPr>
          <w:rFonts w:ascii="Arial" w:cs="Arial" w:eastAsia="Arial" w:hAnsi="Arial"/>
          <w:sz w:val="22"/>
          <w:szCs w:val="22"/>
          <w:color w:val="auto"/>
        </w:rPr>
        <w:t>Our short-term lines of credit of $135,500 are subject to renewal on an annual basis. Although we believe we will be able to renew these facilities, there is no assurance that they will be renewed, or what the terms of any such renewal will be.</w:t>
      </w: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63500</wp:posOffset>
            </wp:positionV>
            <wp:extent cx="6114415" cy="514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114415" cy="51435"/>
                    </a:xfrm>
                    <a:prstGeom prst="rect">
                      <a:avLst/>
                    </a:prstGeom>
                    <a:noFill/>
                  </pic:spPr>
                </pic:pic>
              </a:graphicData>
            </a:graphic>
          </wp:anchor>
        </w:drawing>
      </w:r>
    </w:p>
    <w:p>
      <w:pPr>
        <w:sectPr>
          <w:pgSz w:w="11900" w:h="16838" w:orient="portrait"/>
          <w:cols w:equalWidth="0" w:num="1">
            <w:col w:w="9540"/>
          </w:cols>
          <w:pgMar w:left="1220" w:top="118" w:right="1139" w:bottom="1440" w:gutter="0" w:footer="0" w:header="0"/>
        </w:sectPr>
      </w:pPr>
    </w:p>
    <w:bookmarkStart w:id="35" w:name="page36"/>
    <w:bookmarkEnd w:id="35"/>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34"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AQUA AMERICA, INC. AND SUBSIDIARIES</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MANAGEMENT’S DISCUSSION AND ANALYSIS OF FINANCIAL CONDITION AND RESULTS OF OPERATIONS (continued) (In thousands of dollars, except per share amounts)</w:t>
      </w:r>
    </w:p>
    <w:p>
      <w:pPr>
        <w:spacing w:after="0" w:line="213" w:lineRule="exact"/>
        <w:rPr>
          <w:sz w:val="20"/>
          <w:szCs w:val="20"/>
          <w:color w:val="auto"/>
        </w:rPr>
      </w:pPr>
    </w:p>
    <w:p>
      <w:pPr>
        <w:ind w:right="200"/>
        <w:spacing w:after="0" w:line="249" w:lineRule="auto"/>
        <w:rPr>
          <w:sz w:val="20"/>
          <w:szCs w:val="20"/>
          <w:color w:val="auto"/>
        </w:rPr>
      </w:pPr>
      <w:r>
        <w:rPr>
          <w:rFonts w:ascii="Arial" w:cs="Arial" w:eastAsia="Arial" w:hAnsi="Arial"/>
          <w:sz w:val="21"/>
          <w:szCs w:val="21"/>
          <w:color w:val="auto"/>
        </w:rPr>
        <w:t>The Company’s consolidated balance sheet historically has had a negative working capital position whereby routinely our current liabilities exceed our current assets. Management believes that internally generated funds along with existing credit facilities and the proceeds from the issuance of long-term debt will be adequate to provide sufficient working capital to maintain normal operations and to meet our financing requirements for at least the next twelve months.</w:t>
      </w:r>
    </w:p>
    <w:p>
      <w:pPr>
        <w:spacing w:after="0" w:line="206" w:lineRule="exact"/>
        <w:rPr>
          <w:sz w:val="20"/>
          <w:szCs w:val="20"/>
          <w:color w:val="auto"/>
        </w:rPr>
      </w:pPr>
    </w:p>
    <w:p>
      <w:pPr>
        <w:jc w:val="center"/>
        <w:ind w:right="60"/>
        <w:spacing w:after="0"/>
        <w:rPr>
          <w:sz w:val="20"/>
          <w:szCs w:val="20"/>
          <w:color w:val="auto"/>
        </w:rPr>
      </w:pPr>
      <w:r>
        <w:rPr>
          <w:rFonts w:ascii="Arial" w:cs="Arial" w:eastAsia="Arial" w:hAnsi="Arial"/>
          <w:sz w:val="22"/>
          <w:szCs w:val="22"/>
          <w:u w:val="single" w:color="auto"/>
          <w:color w:val="auto"/>
        </w:rPr>
        <w:t>Results of Operations</w:t>
      </w:r>
    </w:p>
    <w:p>
      <w:pPr>
        <w:spacing w:after="0" w:line="233" w:lineRule="exact"/>
        <w:rPr>
          <w:sz w:val="20"/>
          <w:szCs w:val="20"/>
          <w:color w:val="auto"/>
        </w:rPr>
      </w:pPr>
    </w:p>
    <w:p>
      <w:pPr>
        <w:ind w:left="1700"/>
        <w:spacing w:after="0"/>
        <w:rPr>
          <w:sz w:val="20"/>
          <w:szCs w:val="20"/>
          <w:color w:val="auto"/>
        </w:rPr>
      </w:pPr>
      <w:r>
        <w:rPr>
          <w:rFonts w:ascii="Arial" w:cs="Arial" w:eastAsia="Arial" w:hAnsi="Arial"/>
          <w:sz w:val="22"/>
          <w:szCs w:val="22"/>
          <w:u w:val="single" w:color="auto"/>
          <w:color w:val="auto"/>
        </w:rPr>
        <w:t>Analysis of Third Quarter of 2018 Compared to Third Quarter of 2017</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Revenues increased by $11,129 or 5.2%, primarily due to:</w:t>
      </w:r>
    </w:p>
    <w:p>
      <w:pPr>
        <w:spacing w:after="0" w:line="233" w:lineRule="exact"/>
        <w:rPr>
          <w:sz w:val="20"/>
          <w:szCs w:val="20"/>
          <w:color w:val="auto"/>
        </w:rPr>
      </w:pPr>
    </w:p>
    <w:p>
      <w:pPr>
        <w:ind w:left="640" w:hanging="315"/>
        <w:spacing w:after="0"/>
        <w:tabs>
          <w:tab w:leader="none" w:pos="640" w:val="left"/>
        </w:tabs>
        <w:numPr>
          <w:ilvl w:val="0"/>
          <w:numId w:val="6"/>
        </w:numPr>
        <w:rPr>
          <w:rFonts w:ascii="Arial" w:cs="Arial" w:eastAsia="Arial" w:hAnsi="Arial"/>
          <w:sz w:val="19"/>
          <w:szCs w:val="19"/>
          <w:color w:val="auto"/>
        </w:rPr>
      </w:pPr>
      <w:r>
        <w:rPr>
          <w:rFonts w:ascii="Arial" w:cs="Arial" w:eastAsia="Arial" w:hAnsi="Arial"/>
          <w:sz w:val="19"/>
          <w:szCs w:val="19"/>
          <w:color w:val="auto"/>
        </w:rPr>
        <w:t>an increase in water and wastewater rates and infrastructure rehabilitation surcharges of $7,832;</w:t>
      </w:r>
    </w:p>
    <w:p>
      <w:pPr>
        <w:spacing w:after="0" w:line="132" w:lineRule="exact"/>
        <w:rPr>
          <w:rFonts w:ascii="Arial" w:cs="Arial" w:eastAsia="Arial" w:hAnsi="Arial"/>
          <w:sz w:val="19"/>
          <w:szCs w:val="19"/>
          <w:color w:val="auto"/>
        </w:rPr>
      </w:pPr>
    </w:p>
    <w:p>
      <w:pPr>
        <w:ind w:left="640" w:hanging="315"/>
        <w:spacing w:after="0"/>
        <w:tabs>
          <w:tab w:leader="none" w:pos="640" w:val="left"/>
        </w:tabs>
        <w:numPr>
          <w:ilvl w:val="0"/>
          <w:numId w:val="6"/>
        </w:numPr>
        <w:rPr>
          <w:rFonts w:ascii="Arial" w:cs="Arial" w:eastAsia="Arial" w:hAnsi="Arial"/>
          <w:sz w:val="22"/>
          <w:szCs w:val="22"/>
          <w:color w:val="auto"/>
        </w:rPr>
      </w:pPr>
      <w:r>
        <w:rPr>
          <w:rFonts w:ascii="Arial" w:cs="Arial" w:eastAsia="Arial" w:hAnsi="Arial"/>
          <w:sz w:val="22"/>
          <w:szCs w:val="22"/>
          <w:color w:val="auto"/>
        </w:rPr>
        <w:t>an increase in customer water consumption; and</w:t>
      </w:r>
    </w:p>
    <w:p>
      <w:pPr>
        <w:spacing w:after="0" w:line="98" w:lineRule="exact"/>
        <w:rPr>
          <w:rFonts w:ascii="Arial" w:cs="Arial" w:eastAsia="Arial" w:hAnsi="Arial"/>
          <w:sz w:val="22"/>
          <w:szCs w:val="22"/>
          <w:color w:val="auto"/>
        </w:rPr>
      </w:pPr>
    </w:p>
    <w:p>
      <w:pPr>
        <w:ind w:left="640" w:right="460" w:hanging="315"/>
        <w:spacing w:after="0" w:line="251" w:lineRule="auto"/>
        <w:tabs>
          <w:tab w:leader="none" w:pos="640" w:val="left"/>
        </w:tabs>
        <w:numPr>
          <w:ilvl w:val="0"/>
          <w:numId w:val="6"/>
        </w:numPr>
        <w:rPr>
          <w:rFonts w:ascii="Arial" w:cs="Arial" w:eastAsia="Arial" w:hAnsi="Arial"/>
          <w:sz w:val="22"/>
          <w:szCs w:val="22"/>
          <w:color w:val="auto"/>
        </w:rPr>
      </w:pPr>
      <w:r>
        <w:rPr>
          <w:rFonts w:ascii="Arial" w:cs="Arial" w:eastAsia="Arial" w:hAnsi="Arial"/>
          <w:sz w:val="22"/>
          <w:szCs w:val="22"/>
          <w:color w:val="auto"/>
        </w:rPr>
        <w:t>additional water and wastewater revenues of $1,809 associated with a larger customer base due to organic growth and utility acquisitions;</w:t>
      </w:r>
    </w:p>
    <w:p>
      <w:pPr>
        <w:spacing w:after="0" w:line="65" w:lineRule="exact"/>
        <w:rPr>
          <w:rFonts w:ascii="Arial" w:cs="Arial" w:eastAsia="Arial" w:hAnsi="Arial"/>
          <w:sz w:val="22"/>
          <w:szCs w:val="22"/>
          <w:color w:val="auto"/>
        </w:rPr>
      </w:pPr>
    </w:p>
    <w:p>
      <w:pPr>
        <w:ind w:left="640" w:right="120" w:hanging="315"/>
        <w:spacing w:after="0" w:line="328" w:lineRule="auto"/>
        <w:tabs>
          <w:tab w:leader="none" w:pos="640" w:val="left"/>
        </w:tabs>
        <w:numPr>
          <w:ilvl w:val="0"/>
          <w:numId w:val="6"/>
        </w:numPr>
        <w:rPr>
          <w:rFonts w:ascii="Arial" w:cs="Arial" w:eastAsia="Arial" w:hAnsi="Arial"/>
          <w:sz w:val="19"/>
          <w:szCs w:val="19"/>
          <w:color w:val="auto"/>
        </w:rPr>
      </w:pPr>
      <w:r>
        <w:rPr>
          <w:rFonts w:ascii="Arial" w:cs="Arial" w:eastAsia="Arial" w:hAnsi="Arial"/>
          <w:sz w:val="19"/>
          <w:szCs w:val="19"/>
          <w:color w:val="auto"/>
        </w:rPr>
        <w:t>offset by a reserve of $896 for amounts expected to be refundable to utility customers associated with the decrease in the corporate income tax rate from 35% to 21% due to the TCJA.</w:t>
      </w:r>
    </w:p>
    <w:p>
      <w:pPr>
        <w:spacing w:after="0" w:line="240" w:lineRule="exact"/>
        <w:rPr>
          <w:sz w:val="20"/>
          <w:szCs w:val="20"/>
          <w:color w:val="auto"/>
        </w:rPr>
      </w:pPr>
    </w:p>
    <w:p>
      <w:pPr>
        <w:spacing w:after="0"/>
        <w:rPr>
          <w:sz w:val="20"/>
          <w:szCs w:val="20"/>
          <w:color w:val="auto"/>
        </w:rPr>
      </w:pPr>
      <w:r>
        <w:rPr>
          <w:rFonts w:ascii="Arial" w:cs="Arial" w:eastAsia="Arial" w:hAnsi="Arial"/>
          <w:sz w:val="22"/>
          <w:szCs w:val="22"/>
          <w:color w:val="auto"/>
        </w:rPr>
        <w:t>Operations and maintenance expenses increased by $1,880 or 2.8%, primarily due to:</w:t>
      </w:r>
    </w:p>
    <w:p>
      <w:pPr>
        <w:spacing w:after="0" w:line="233" w:lineRule="exact"/>
        <w:rPr>
          <w:sz w:val="20"/>
          <w:szCs w:val="20"/>
          <w:color w:val="auto"/>
        </w:rPr>
      </w:pPr>
    </w:p>
    <w:p>
      <w:pPr>
        <w:ind w:left="640" w:hanging="315"/>
        <w:spacing w:after="0"/>
        <w:tabs>
          <w:tab w:leader="none" w:pos="640" w:val="left"/>
        </w:tabs>
        <w:numPr>
          <w:ilvl w:val="0"/>
          <w:numId w:val="7"/>
        </w:numPr>
        <w:rPr>
          <w:rFonts w:ascii="Arial" w:cs="Arial" w:eastAsia="Arial" w:hAnsi="Arial"/>
          <w:sz w:val="22"/>
          <w:szCs w:val="22"/>
          <w:color w:val="auto"/>
        </w:rPr>
      </w:pPr>
      <w:r>
        <w:rPr>
          <w:rFonts w:ascii="Arial" w:cs="Arial" w:eastAsia="Arial" w:hAnsi="Arial"/>
          <w:sz w:val="22"/>
          <w:szCs w:val="22"/>
          <w:color w:val="auto"/>
        </w:rPr>
        <w:t>an increase in labor and benefits expenses of $2,352, primarily due to wage increases;</w:t>
      </w:r>
    </w:p>
    <w:p>
      <w:pPr>
        <w:spacing w:after="0" w:line="98" w:lineRule="exact"/>
        <w:rPr>
          <w:rFonts w:ascii="Arial" w:cs="Arial" w:eastAsia="Arial" w:hAnsi="Arial"/>
          <w:sz w:val="22"/>
          <w:szCs w:val="22"/>
          <w:color w:val="auto"/>
        </w:rPr>
      </w:pPr>
    </w:p>
    <w:p>
      <w:pPr>
        <w:ind w:left="640" w:right="400" w:hanging="315"/>
        <w:spacing w:after="0" w:line="251" w:lineRule="auto"/>
        <w:tabs>
          <w:tab w:leader="none" w:pos="640" w:val="left"/>
        </w:tabs>
        <w:numPr>
          <w:ilvl w:val="0"/>
          <w:numId w:val="7"/>
        </w:numPr>
        <w:rPr>
          <w:rFonts w:ascii="Arial" w:cs="Arial" w:eastAsia="Arial" w:hAnsi="Arial"/>
          <w:sz w:val="22"/>
          <w:szCs w:val="22"/>
          <w:color w:val="auto"/>
        </w:rPr>
      </w:pPr>
      <w:r>
        <w:rPr>
          <w:rFonts w:ascii="Arial" w:cs="Arial" w:eastAsia="Arial" w:hAnsi="Arial"/>
          <w:sz w:val="22"/>
          <w:szCs w:val="22"/>
          <w:color w:val="auto"/>
        </w:rPr>
        <w:t>an increase in water production costs of $1,243, primarily associated with the increase in customer water consumption noted above; and</w:t>
      </w:r>
    </w:p>
    <w:p>
      <w:pPr>
        <w:spacing w:after="0" w:line="65" w:lineRule="exact"/>
        <w:rPr>
          <w:rFonts w:ascii="Arial" w:cs="Arial" w:eastAsia="Arial" w:hAnsi="Arial"/>
          <w:sz w:val="22"/>
          <w:szCs w:val="22"/>
          <w:color w:val="auto"/>
        </w:rPr>
      </w:pPr>
    </w:p>
    <w:p>
      <w:pPr>
        <w:ind w:left="640" w:hanging="315"/>
        <w:spacing w:after="0"/>
        <w:tabs>
          <w:tab w:leader="none" w:pos="640" w:val="left"/>
        </w:tabs>
        <w:numPr>
          <w:ilvl w:val="0"/>
          <w:numId w:val="7"/>
        </w:numPr>
        <w:rPr>
          <w:rFonts w:ascii="Arial" w:cs="Arial" w:eastAsia="Arial" w:hAnsi="Arial"/>
          <w:sz w:val="22"/>
          <w:szCs w:val="22"/>
          <w:color w:val="auto"/>
        </w:rPr>
      </w:pPr>
      <w:r>
        <w:rPr>
          <w:rFonts w:ascii="Arial" w:cs="Arial" w:eastAsia="Arial" w:hAnsi="Arial"/>
          <w:sz w:val="22"/>
          <w:szCs w:val="22"/>
          <w:color w:val="auto"/>
        </w:rPr>
        <w:t>additional operating costs associated with acquired utility systems of $599;</w:t>
      </w:r>
    </w:p>
    <w:p>
      <w:pPr>
        <w:spacing w:after="0" w:line="98" w:lineRule="exact"/>
        <w:rPr>
          <w:rFonts w:ascii="Arial" w:cs="Arial" w:eastAsia="Arial" w:hAnsi="Arial"/>
          <w:sz w:val="22"/>
          <w:szCs w:val="22"/>
          <w:color w:val="auto"/>
        </w:rPr>
      </w:pPr>
    </w:p>
    <w:p>
      <w:pPr>
        <w:ind w:left="640" w:hanging="315"/>
        <w:spacing w:after="0"/>
        <w:tabs>
          <w:tab w:leader="none" w:pos="640" w:val="left"/>
        </w:tabs>
        <w:numPr>
          <w:ilvl w:val="0"/>
          <w:numId w:val="7"/>
        </w:numPr>
        <w:rPr>
          <w:rFonts w:ascii="Arial" w:cs="Arial" w:eastAsia="Arial" w:hAnsi="Arial"/>
          <w:sz w:val="22"/>
          <w:szCs w:val="22"/>
          <w:color w:val="auto"/>
        </w:rPr>
      </w:pPr>
      <w:r>
        <w:rPr>
          <w:rFonts w:ascii="Arial" w:cs="Arial" w:eastAsia="Arial" w:hAnsi="Arial"/>
          <w:sz w:val="22"/>
          <w:szCs w:val="22"/>
          <w:color w:val="auto"/>
        </w:rPr>
        <w:t>offset by a favorable reduction to a regulatory liability of $3,899.</w:t>
      </w:r>
    </w:p>
    <w:p>
      <w:pPr>
        <w:spacing w:after="0" w:line="341" w:lineRule="exact"/>
        <w:rPr>
          <w:sz w:val="20"/>
          <w:szCs w:val="20"/>
          <w:color w:val="auto"/>
        </w:rPr>
      </w:pPr>
    </w:p>
    <w:p>
      <w:pPr>
        <w:ind w:right="280"/>
        <w:spacing w:after="0" w:line="251" w:lineRule="auto"/>
        <w:rPr>
          <w:sz w:val="20"/>
          <w:szCs w:val="20"/>
          <w:color w:val="auto"/>
        </w:rPr>
      </w:pPr>
      <w:r>
        <w:rPr>
          <w:rFonts w:ascii="Arial" w:cs="Arial" w:eastAsia="Arial" w:hAnsi="Arial"/>
          <w:sz w:val="22"/>
          <w:szCs w:val="22"/>
          <w:color w:val="auto"/>
        </w:rPr>
        <w:t>Depreciation expense increased by $3,193 or 9.3%, primarily due to the utility plant placed in service since September 30, 2017.</w:t>
      </w:r>
    </w:p>
    <w:p>
      <w:pPr>
        <w:spacing w:after="0" w:line="200" w:lineRule="exact"/>
        <w:rPr>
          <w:sz w:val="20"/>
          <w:szCs w:val="20"/>
          <w:color w:val="auto"/>
        </w:rPr>
      </w:pPr>
    </w:p>
    <w:p>
      <w:pPr>
        <w:spacing w:after="0" w:line="251" w:lineRule="auto"/>
        <w:rPr>
          <w:sz w:val="20"/>
          <w:szCs w:val="20"/>
          <w:color w:val="auto"/>
        </w:rPr>
      </w:pPr>
      <w:r>
        <w:rPr>
          <w:rFonts w:ascii="Arial" w:cs="Arial" w:eastAsia="Arial" w:hAnsi="Arial"/>
          <w:sz w:val="22"/>
          <w:szCs w:val="22"/>
          <w:color w:val="auto"/>
        </w:rPr>
        <w:t>Interest expense increased by $2,948 or 13.2%, primarily due to an increase in average borrowings, offset by a decrease in our effective interest rate.</w:t>
      </w:r>
    </w:p>
    <w:p>
      <w:pPr>
        <w:spacing w:after="0" w:line="200" w:lineRule="exact"/>
        <w:rPr>
          <w:sz w:val="20"/>
          <w:szCs w:val="20"/>
          <w:color w:val="auto"/>
        </w:rPr>
      </w:pPr>
    </w:p>
    <w:p>
      <w:pPr>
        <w:ind w:right="680"/>
        <w:spacing w:after="0" w:line="328" w:lineRule="auto"/>
        <w:rPr>
          <w:sz w:val="20"/>
          <w:szCs w:val="20"/>
          <w:color w:val="auto"/>
        </w:rPr>
      </w:pPr>
      <w:r>
        <w:rPr>
          <w:rFonts w:ascii="Arial" w:cs="Arial" w:eastAsia="Arial" w:hAnsi="Arial"/>
          <w:sz w:val="19"/>
          <w:szCs w:val="19"/>
          <w:color w:val="auto"/>
        </w:rPr>
        <w:t>Allowance for funds used during construction (“AFUDC”) decreased by $848, due to a decrease in the average balance of utility plant construction work in progress, to which AFUDC is applied.</w:t>
      </w:r>
    </w:p>
    <w:p>
      <w:pPr>
        <w:spacing w:after="0" w:line="132" w:lineRule="exact"/>
        <w:rPr>
          <w:sz w:val="20"/>
          <w:szCs w:val="20"/>
          <w:color w:val="auto"/>
        </w:rPr>
      </w:pPr>
    </w:p>
    <w:p>
      <w:pPr>
        <w:ind w:right="280"/>
        <w:spacing w:after="0" w:line="251" w:lineRule="auto"/>
        <w:rPr>
          <w:sz w:val="20"/>
          <w:szCs w:val="20"/>
          <w:color w:val="auto"/>
        </w:rPr>
      </w:pPr>
      <w:r>
        <w:rPr>
          <w:rFonts w:ascii="Arial" w:cs="Arial" w:eastAsia="Arial" w:hAnsi="Arial"/>
          <w:sz w:val="22"/>
          <w:szCs w:val="22"/>
          <w:color w:val="auto"/>
        </w:rPr>
        <w:t>Equity earnings in joint venture decreased by $378 due to a decrease in the sale of raw water to firms in the natural gas drilling industry.</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63500</wp:posOffset>
            </wp:positionV>
            <wp:extent cx="6114415" cy="514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114415" cy="51435"/>
                    </a:xfrm>
                    <a:prstGeom prst="rect">
                      <a:avLst/>
                    </a:prstGeom>
                    <a:noFill/>
                  </pic:spPr>
                </pic:pic>
              </a:graphicData>
            </a:graphic>
          </wp:anchor>
        </w:drawing>
      </w:r>
    </w:p>
    <w:p>
      <w:pPr>
        <w:sectPr>
          <w:pgSz w:w="11900" w:h="16838" w:orient="portrait"/>
          <w:cols w:equalWidth="0" w:num="1">
            <w:col w:w="9560"/>
          </w:cols>
          <w:pgMar w:left="1220" w:top="118" w:right="1119" w:bottom="1440" w:gutter="0" w:footer="0" w:header="0"/>
        </w:sectPr>
      </w:pPr>
    </w:p>
    <w:bookmarkStart w:id="36" w:name="page37"/>
    <w:bookmarkEnd w:id="36"/>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34"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AQUA AMERICA, INC. AND SUBSIDIARIES</w:t>
      </w:r>
    </w:p>
    <w:p>
      <w:pPr>
        <w:spacing w:after="0" w:line="233" w:lineRule="exact"/>
        <w:rPr>
          <w:sz w:val="20"/>
          <w:szCs w:val="20"/>
          <w:color w:val="auto"/>
        </w:rPr>
      </w:pPr>
    </w:p>
    <w:p>
      <w:pPr>
        <w:jc w:val="center"/>
        <w:ind w:left="1240" w:right="1420"/>
        <w:spacing w:after="0"/>
        <w:rPr>
          <w:sz w:val="20"/>
          <w:szCs w:val="20"/>
          <w:color w:val="auto"/>
        </w:rPr>
      </w:pPr>
      <w:r>
        <w:rPr>
          <w:rFonts w:ascii="Arial" w:cs="Arial" w:eastAsia="Arial" w:hAnsi="Arial"/>
          <w:sz w:val="22"/>
          <w:szCs w:val="22"/>
          <w:color w:val="auto"/>
        </w:rPr>
        <w:t>MANAGEMENT’S DISCUSSION AND ANALYSIS OF FINANCIAL CONDITION AND RESULTS OF OPERATIONS (continued) (In thousands of dollars, except per share amounts)</w:t>
      </w:r>
    </w:p>
    <w:p>
      <w:pPr>
        <w:spacing w:after="0" w:line="213" w:lineRule="exact"/>
        <w:rPr>
          <w:sz w:val="20"/>
          <w:szCs w:val="20"/>
          <w:color w:val="auto"/>
        </w:rPr>
      </w:pPr>
    </w:p>
    <w:p>
      <w:pPr>
        <w:ind w:right="340"/>
        <w:spacing w:after="0" w:line="251" w:lineRule="auto"/>
        <w:rPr>
          <w:sz w:val="20"/>
          <w:szCs w:val="20"/>
          <w:color w:val="auto"/>
        </w:rPr>
      </w:pPr>
      <w:r>
        <w:rPr>
          <w:rFonts w:ascii="Arial" w:cs="Arial" w:eastAsia="Arial" w:hAnsi="Arial"/>
          <w:sz w:val="22"/>
          <w:szCs w:val="22"/>
          <w:color w:val="auto"/>
        </w:rPr>
        <w:t>Other decreased by $913 primarily due to a decrease in the non-service cost components of our net benefit cost for pension and postretirement benefits.</w:t>
      </w:r>
    </w:p>
    <w:p>
      <w:pPr>
        <w:spacing w:after="0" w:line="200" w:lineRule="exact"/>
        <w:rPr>
          <w:sz w:val="20"/>
          <w:szCs w:val="20"/>
          <w:color w:val="auto"/>
        </w:rPr>
      </w:pPr>
    </w:p>
    <w:p>
      <w:pPr>
        <w:spacing w:after="0"/>
        <w:rPr>
          <w:sz w:val="20"/>
          <w:szCs w:val="20"/>
          <w:color w:val="auto"/>
        </w:rPr>
      </w:pPr>
      <w:r>
        <w:rPr>
          <w:rFonts w:ascii="Arial" w:cs="Arial" w:eastAsia="Arial" w:hAnsi="Arial"/>
          <w:sz w:val="21"/>
          <w:szCs w:val="21"/>
          <w:color w:val="auto"/>
        </w:rPr>
        <w:t>Our effective income tax rate was 4.8% in the third quarter of 2018 and 4.3% in the third quarter of</w:t>
      </w:r>
    </w:p>
    <w:p>
      <w:pPr>
        <w:spacing w:after="0" w:line="20" w:lineRule="exact"/>
        <w:rPr>
          <w:sz w:val="20"/>
          <w:szCs w:val="20"/>
          <w:color w:val="auto"/>
        </w:rPr>
      </w:pPr>
    </w:p>
    <w:p>
      <w:pPr>
        <w:jc w:val="both"/>
        <w:spacing w:after="0" w:line="249" w:lineRule="auto"/>
        <w:rPr>
          <w:sz w:val="20"/>
          <w:szCs w:val="20"/>
          <w:color w:val="auto"/>
        </w:rPr>
      </w:pPr>
      <w:r>
        <w:rPr>
          <w:rFonts w:ascii="Arial" w:cs="Arial" w:eastAsia="Arial" w:hAnsi="Arial"/>
          <w:sz w:val="21"/>
          <w:szCs w:val="21"/>
          <w:color w:val="auto"/>
        </w:rPr>
        <w:t>2017. The effective income tax rate increased due to the effect of a decrease in tax benefits recognized in the third quarter of 2018 for deductions on certain qualifying infrastructure improvements for Aqua Pennsylvania, offset by the reduction in the corporate income tax rate from 35% to 21%.</w:t>
      </w:r>
    </w:p>
    <w:p>
      <w:pPr>
        <w:spacing w:after="0" w:line="203" w:lineRule="exact"/>
        <w:rPr>
          <w:sz w:val="20"/>
          <w:szCs w:val="20"/>
          <w:color w:val="auto"/>
        </w:rPr>
      </w:pPr>
    </w:p>
    <w:p>
      <w:pPr>
        <w:spacing w:after="0"/>
        <w:rPr>
          <w:sz w:val="20"/>
          <w:szCs w:val="20"/>
          <w:color w:val="auto"/>
        </w:rPr>
      </w:pPr>
      <w:r>
        <w:rPr>
          <w:rFonts w:ascii="Arial" w:cs="Arial" w:eastAsia="Arial" w:hAnsi="Arial"/>
          <w:sz w:val="22"/>
          <w:szCs w:val="22"/>
          <w:color w:val="auto"/>
        </w:rPr>
        <w:t>Net income increased by $1,991 or 2.6%, primarily as a result of the factors described above.</w:t>
      </w:r>
    </w:p>
    <w:p>
      <w:pPr>
        <w:spacing w:after="0" w:line="233" w:lineRule="exact"/>
        <w:rPr>
          <w:sz w:val="20"/>
          <w:szCs w:val="20"/>
          <w:color w:val="auto"/>
        </w:rPr>
      </w:pPr>
    </w:p>
    <w:p>
      <w:pPr>
        <w:ind w:left="1300"/>
        <w:spacing w:after="0"/>
        <w:rPr>
          <w:sz w:val="20"/>
          <w:szCs w:val="20"/>
          <w:color w:val="auto"/>
        </w:rPr>
      </w:pPr>
      <w:r>
        <w:rPr>
          <w:rFonts w:ascii="Arial" w:cs="Arial" w:eastAsia="Arial" w:hAnsi="Arial"/>
          <w:sz w:val="22"/>
          <w:szCs w:val="22"/>
          <w:u w:val="single" w:color="auto"/>
          <w:color w:val="auto"/>
        </w:rPr>
        <w:t>Analysis of First Nine Months of 2018 Compared to First Nine Months of 2017</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Revenues increased by $26,131 or 4.3%, primarily due to:</w:t>
      </w:r>
    </w:p>
    <w:p>
      <w:pPr>
        <w:spacing w:after="0" w:line="233" w:lineRule="exact"/>
        <w:rPr>
          <w:sz w:val="20"/>
          <w:szCs w:val="20"/>
          <w:color w:val="auto"/>
        </w:rPr>
      </w:pPr>
    </w:p>
    <w:p>
      <w:pPr>
        <w:ind w:left="640" w:hanging="315"/>
        <w:spacing w:after="0"/>
        <w:tabs>
          <w:tab w:leader="none" w:pos="640" w:val="left"/>
        </w:tabs>
        <w:numPr>
          <w:ilvl w:val="0"/>
          <w:numId w:val="8"/>
        </w:numPr>
        <w:rPr>
          <w:rFonts w:ascii="Arial" w:cs="Arial" w:eastAsia="Arial" w:hAnsi="Arial"/>
          <w:sz w:val="19"/>
          <w:szCs w:val="19"/>
          <w:color w:val="auto"/>
        </w:rPr>
      </w:pPr>
      <w:r>
        <w:rPr>
          <w:rFonts w:ascii="Arial" w:cs="Arial" w:eastAsia="Arial" w:hAnsi="Arial"/>
          <w:sz w:val="19"/>
          <w:szCs w:val="19"/>
          <w:color w:val="auto"/>
        </w:rPr>
        <w:t>an increase in water and wastewater rates and infrastructure rehabilitation surcharges of $21,428;</w:t>
      </w:r>
    </w:p>
    <w:p>
      <w:pPr>
        <w:spacing w:after="0" w:line="132" w:lineRule="exact"/>
        <w:rPr>
          <w:rFonts w:ascii="Arial" w:cs="Arial" w:eastAsia="Arial" w:hAnsi="Arial"/>
          <w:sz w:val="19"/>
          <w:szCs w:val="19"/>
          <w:color w:val="auto"/>
        </w:rPr>
      </w:pPr>
    </w:p>
    <w:p>
      <w:pPr>
        <w:ind w:left="640" w:hanging="315"/>
        <w:spacing w:after="0"/>
        <w:tabs>
          <w:tab w:leader="none" w:pos="640" w:val="left"/>
        </w:tabs>
        <w:numPr>
          <w:ilvl w:val="0"/>
          <w:numId w:val="8"/>
        </w:numPr>
        <w:rPr>
          <w:rFonts w:ascii="Arial" w:cs="Arial" w:eastAsia="Arial" w:hAnsi="Arial"/>
          <w:sz w:val="22"/>
          <w:szCs w:val="22"/>
          <w:color w:val="auto"/>
        </w:rPr>
      </w:pPr>
      <w:r>
        <w:rPr>
          <w:rFonts w:ascii="Arial" w:cs="Arial" w:eastAsia="Arial" w:hAnsi="Arial"/>
          <w:sz w:val="22"/>
          <w:szCs w:val="22"/>
          <w:color w:val="auto"/>
        </w:rPr>
        <w:t>an increase in customer water consumption;</w:t>
      </w:r>
    </w:p>
    <w:p>
      <w:pPr>
        <w:spacing w:after="0" w:line="98" w:lineRule="exact"/>
        <w:rPr>
          <w:rFonts w:ascii="Arial" w:cs="Arial" w:eastAsia="Arial" w:hAnsi="Arial"/>
          <w:sz w:val="22"/>
          <w:szCs w:val="22"/>
          <w:color w:val="auto"/>
        </w:rPr>
      </w:pPr>
    </w:p>
    <w:p>
      <w:pPr>
        <w:ind w:left="640" w:right="440" w:hanging="315"/>
        <w:spacing w:after="0" w:line="251" w:lineRule="auto"/>
        <w:tabs>
          <w:tab w:leader="none" w:pos="640" w:val="left"/>
        </w:tabs>
        <w:numPr>
          <w:ilvl w:val="0"/>
          <w:numId w:val="8"/>
        </w:numPr>
        <w:rPr>
          <w:rFonts w:ascii="Arial" w:cs="Arial" w:eastAsia="Arial" w:hAnsi="Arial"/>
          <w:sz w:val="22"/>
          <w:szCs w:val="22"/>
          <w:color w:val="auto"/>
        </w:rPr>
      </w:pPr>
      <w:r>
        <w:rPr>
          <w:rFonts w:ascii="Arial" w:cs="Arial" w:eastAsia="Arial" w:hAnsi="Arial"/>
          <w:sz w:val="22"/>
          <w:szCs w:val="22"/>
          <w:color w:val="auto"/>
        </w:rPr>
        <w:t>additional water and wastewater revenues of $4,705 associated with a larger customer base due to organic growth and utility acquisitions; and</w:t>
      </w:r>
    </w:p>
    <w:p>
      <w:pPr>
        <w:spacing w:after="0" w:line="65" w:lineRule="exact"/>
        <w:rPr>
          <w:rFonts w:ascii="Arial" w:cs="Arial" w:eastAsia="Arial" w:hAnsi="Arial"/>
          <w:sz w:val="22"/>
          <w:szCs w:val="22"/>
          <w:color w:val="auto"/>
        </w:rPr>
      </w:pPr>
    </w:p>
    <w:p>
      <w:pPr>
        <w:ind w:left="640" w:right="380" w:hanging="315"/>
        <w:spacing w:after="0" w:line="326" w:lineRule="auto"/>
        <w:tabs>
          <w:tab w:leader="none" w:pos="640" w:val="left"/>
        </w:tabs>
        <w:numPr>
          <w:ilvl w:val="0"/>
          <w:numId w:val="8"/>
        </w:numPr>
        <w:rPr>
          <w:rFonts w:ascii="Arial" w:cs="Arial" w:eastAsia="Arial" w:hAnsi="Arial"/>
          <w:sz w:val="19"/>
          <w:szCs w:val="19"/>
          <w:color w:val="auto"/>
        </w:rPr>
      </w:pPr>
      <w:r>
        <w:rPr>
          <w:rFonts w:ascii="Arial" w:cs="Arial" w:eastAsia="Arial" w:hAnsi="Arial"/>
          <w:sz w:val="19"/>
          <w:szCs w:val="19"/>
          <w:color w:val="auto"/>
        </w:rPr>
        <w:t>an increase in wastewater revenues of $2,469 primarily due to an increase in the volume of treated wastewater flows from the City of Ft. Wayne, Indiana at our Indiana wastewater treatment plant;</w:t>
      </w:r>
    </w:p>
    <w:p>
      <w:pPr>
        <w:ind w:left="640" w:right="380" w:hanging="315"/>
        <w:spacing w:after="0" w:line="328" w:lineRule="auto"/>
        <w:tabs>
          <w:tab w:leader="none" w:pos="640" w:val="left"/>
        </w:tabs>
        <w:numPr>
          <w:ilvl w:val="0"/>
          <w:numId w:val="8"/>
        </w:numPr>
        <w:rPr>
          <w:rFonts w:ascii="Arial" w:cs="Arial" w:eastAsia="Arial" w:hAnsi="Arial"/>
          <w:sz w:val="19"/>
          <w:szCs w:val="19"/>
          <w:color w:val="auto"/>
        </w:rPr>
      </w:pPr>
      <w:r>
        <w:rPr>
          <w:rFonts w:ascii="Arial" w:cs="Arial" w:eastAsia="Arial" w:hAnsi="Arial"/>
          <w:sz w:val="19"/>
          <w:szCs w:val="19"/>
          <w:color w:val="auto"/>
        </w:rPr>
        <w:t>offset by a reserve of $4,679 for amounts expected to be refundable to utility customers associated with the decrease in the corporate income tax rate from 35% to 21% due to the TCJA.</w:t>
      </w:r>
    </w:p>
    <w:p>
      <w:pPr>
        <w:spacing w:after="0" w:line="240" w:lineRule="exact"/>
        <w:rPr>
          <w:sz w:val="20"/>
          <w:szCs w:val="20"/>
          <w:color w:val="auto"/>
        </w:rPr>
      </w:pPr>
    </w:p>
    <w:p>
      <w:pPr>
        <w:spacing w:after="0"/>
        <w:rPr>
          <w:sz w:val="20"/>
          <w:szCs w:val="20"/>
          <w:color w:val="auto"/>
        </w:rPr>
      </w:pPr>
      <w:r>
        <w:rPr>
          <w:rFonts w:ascii="Arial" w:cs="Arial" w:eastAsia="Arial" w:hAnsi="Arial"/>
          <w:sz w:val="22"/>
          <w:szCs w:val="22"/>
          <w:color w:val="auto"/>
        </w:rPr>
        <w:t>Operations and maintenance expenses increased by $11,836 or 5.8%, primarily due to:</w:t>
      </w:r>
    </w:p>
    <w:p>
      <w:pPr>
        <w:spacing w:after="0" w:line="233" w:lineRule="exact"/>
        <w:rPr>
          <w:sz w:val="20"/>
          <w:szCs w:val="20"/>
          <w:color w:val="auto"/>
        </w:rPr>
      </w:pPr>
    </w:p>
    <w:p>
      <w:pPr>
        <w:ind w:left="640" w:right="200" w:hanging="315"/>
        <w:spacing w:after="0" w:line="274" w:lineRule="auto"/>
        <w:tabs>
          <w:tab w:leader="none" w:pos="640" w:val="left"/>
        </w:tabs>
        <w:numPr>
          <w:ilvl w:val="0"/>
          <w:numId w:val="9"/>
        </w:numPr>
        <w:rPr>
          <w:rFonts w:ascii="Arial" w:cs="Arial" w:eastAsia="Arial" w:hAnsi="Arial"/>
          <w:sz w:val="21"/>
          <w:szCs w:val="21"/>
          <w:color w:val="auto"/>
        </w:rPr>
      </w:pPr>
      <w:r>
        <w:rPr>
          <w:rFonts w:ascii="Arial" w:cs="Arial" w:eastAsia="Arial" w:hAnsi="Arial"/>
          <w:sz w:val="21"/>
          <w:szCs w:val="21"/>
          <w:color w:val="auto"/>
        </w:rPr>
        <w:t>an increase in labor and benefits expenses of $11,147, primarily due to additional overtime expenses for increased maintenance activities in the first quarter and wage increases;</w:t>
      </w:r>
    </w:p>
    <w:p>
      <w:pPr>
        <w:spacing w:after="0" w:line="42" w:lineRule="exact"/>
        <w:rPr>
          <w:rFonts w:ascii="Arial" w:cs="Arial" w:eastAsia="Arial" w:hAnsi="Arial"/>
          <w:sz w:val="21"/>
          <w:szCs w:val="21"/>
          <w:color w:val="auto"/>
        </w:rPr>
      </w:pPr>
    </w:p>
    <w:p>
      <w:pPr>
        <w:ind w:left="640" w:hanging="315"/>
        <w:spacing w:after="0"/>
        <w:tabs>
          <w:tab w:leader="none" w:pos="640" w:val="left"/>
        </w:tabs>
        <w:numPr>
          <w:ilvl w:val="0"/>
          <w:numId w:val="9"/>
        </w:numPr>
        <w:rPr>
          <w:rFonts w:ascii="Arial" w:cs="Arial" w:eastAsia="Arial" w:hAnsi="Arial"/>
          <w:sz w:val="22"/>
          <w:szCs w:val="22"/>
          <w:color w:val="auto"/>
        </w:rPr>
      </w:pPr>
      <w:r>
        <w:rPr>
          <w:rFonts w:ascii="Arial" w:cs="Arial" w:eastAsia="Arial" w:hAnsi="Arial"/>
          <w:sz w:val="22"/>
          <w:szCs w:val="22"/>
          <w:color w:val="auto"/>
        </w:rPr>
        <w:t>the prior year effect of a favorable settlement for a disputed contract of $1,062;</w:t>
      </w:r>
    </w:p>
    <w:p>
      <w:pPr>
        <w:spacing w:after="0" w:line="98" w:lineRule="exact"/>
        <w:rPr>
          <w:rFonts w:ascii="Arial" w:cs="Arial" w:eastAsia="Arial" w:hAnsi="Arial"/>
          <w:sz w:val="22"/>
          <w:szCs w:val="22"/>
          <w:color w:val="auto"/>
        </w:rPr>
      </w:pPr>
    </w:p>
    <w:p>
      <w:pPr>
        <w:ind w:left="640" w:right="160" w:hanging="315"/>
        <w:spacing w:after="0" w:line="251" w:lineRule="auto"/>
        <w:tabs>
          <w:tab w:leader="none" w:pos="640" w:val="left"/>
        </w:tabs>
        <w:numPr>
          <w:ilvl w:val="0"/>
          <w:numId w:val="9"/>
        </w:numPr>
        <w:rPr>
          <w:rFonts w:ascii="Arial" w:cs="Arial" w:eastAsia="Arial" w:hAnsi="Arial"/>
          <w:sz w:val="22"/>
          <w:szCs w:val="22"/>
          <w:color w:val="auto"/>
        </w:rPr>
      </w:pPr>
      <w:r>
        <w:rPr>
          <w:rFonts w:ascii="Arial" w:cs="Arial" w:eastAsia="Arial" w:hAnsi="Arial"/>
          <w:sz w:val="22"/>
          <w:szCs w:val="22"/>
          <w:color w:val="auto"/>
        </w:rPr>
        <w:t>an increase in maintenance expenses of $1,057, mainly resulting from expenses incurred due to more severe winter weather conditions;</w:t>
      </w:r>
    </w:p>
    <w:p>
      <w:pPr>
        <w:spacing w:after="0" w:line="65" w:lineRule="exact"/>
        <w:rPr>
          <w:rFonts w:ascii="Arial" w:cs="Arial" w:eastAsia="Arial" w:hAnsi="Arial"/>
          <w:sz w:val="22"/>
          <w:szCs w:val="22"/>
          <w:color w:val="auto"/>
        </w:rPr>
      </w:pPr>
    </w:p>
    <w:p>
      <w:pPr>
        <w:ind w:left="640" w:right="80" w:hanging="315"/>
        <w:spacing w:after="0" w:line="251" w:lineRule="auto"/>
        <w:tabs>
          <w:tab w:leader="none" w:pos="640" w:val="left"/>
        </w:tabs>
        <w:numPr>
          <w:ilvl w:val="0"/>
          <w:numId w:val="9"/>
        </w:numPr>
        <w:rPr>
          <w:rFonts w:ascii="Arial" w:cs="Arial" w:eastAsia="Arial" w:hAnsi="Arial"/>
          <w:sz w:val="22"/>
          <w:szCs w:val="22"/>
          <w:color w:val="auto"/>
        </w:rPr>
      </w:pPr>
      <w:r>
        <w:rPr>
          <w:rFonts w:ascii="Arial" w:cs="Arial" w:eastAsia="Arial" w:hAnsi="Arial"/>
          <w:sz w:val="22"/>
          <w:szCs w:val="22"/>
          <w:color w:val="auto"/>
        </w:rPr>
        <w:t>the prior year effect of the favorable treatment of a regulatory asset of $1,000 due to a rate proceeding that occurred in 2017; and</w:t>
      </w:r>
    </w:p>
    <w:p>
      <w:pPr>
        <w:spacing w:after="0" w:line="65" w:lineRule="exact"/>
        <w:rPr>
          <w:rFonts w:ascii="Arial" w:cs="Arial" w:eastAsia="Arial" w:hAnsi="Arial"/>
          <w:sz w:val="22"/>
          <w:szCs w:val="22"/>
          <w:color w:val="auto"/>
        </w:rPr>
      </w:pPr>
    </w:p>
    <w:p>
      <w:pPr>
        <w:ind w:left="640" w:hanging="315"/>
        <w:spacing w:after="0"/>
        <w:tabs>
          <w:tab w:leader="none" w:pos="640" w:val="left"/>
        </w:tabs>
        <w:numPr>
          <w:ilvl w:val="0"/>
          <w:numId w:val="9"/>
        </w:numPr>
        <w:rPr>
          <w:rFonts w:ascii="Arial" w:cs="Arial" w:eastAsia="Arial" w:hAnsi="Arial"/>
          <w:sz w:val="22"/>
          <w:szCs w:val="22"/>
          <w:color w:val="auto"/>
        </w:rPr>
      </w:pPr>
      <w:r>
        <w:rPr>
          <w:rFonts w:ascii="Arial" w:cs="Arial" w:eastAsia="Arial" w:hAnsi="Arial"/>
          <w:sz w:val="22"/>
          <w:szCs w:val="22"/>
          <w:color w:val="auto"/>
        </w:rPr>
        <w:t>additional operating costs associated with acquired utility systems of $740;</w:t>
      </w:r>
    </w:p>
    <w:p>
      <w:pPr>
        <w:spacing w:after="0" w:line="98" w:lineRule="exact"/>
        <w:rPr>
          <w:rFonts w:ascii="Arial" w:cs="Arial" w:eastAsia="Arial" w:hAnsi="Arial"/>
          <w:sz w:val="22"/>
          <w:szCs w:val="22"/>
          <w:color w:val="auto"/>
        </w:rPr>
      </w:pPr>
    </w:p>
    <w:p>
      <w:pPr>
        <w:ind w:left="640" w:hanging="315"/>
        <w:spacing w:after="0"/>
        <w:tabs>
          <w:tab w:leader="none" w:pos="640" w:val="left"/>
        </w:tabs>
        <w:numPr>
          <w:ilvl w:val="0"/>
          <w:numId w:val="9"/>
        </w:numPr>
        <w:rPr>
          <w:rFonts w:ascii="Arial" w:cs="Arial" w:eastAsia="Arial" w:hAnsi="Arial"/>
          <w:sz w:val="22"/>
          <w:szCs w:val="22"/>
          <w:color w:val="auto"/>
        </w:rPr>
      </w:pPr>
      <w:r>
        <w:rPr>
          <w:rFonts w:ascii="Arial" w:cs="Arial" w:eastAsia="Arial" w:hAnsi="Arial"/>
          <w:sz w:val="22"/>
          <w:szCs w:val="22"/>
          <w:color w:val="auto"/>
        </w:rPr>
        <w:t>offset by a favorable reduction to a regulatory liability of $3,899; and</w:t>
      </w:r>
    </w:p>
    <w:p>
      <w:pPr>
        <w:spacing w:after="0" w:line="98" w:lineRule="exact"/>
        <w:rPr>
          <w:rFonts w:ascii="Arial" w:cs="Arial" w:eastAsia="Arial" w:hAnsi="Arial"/>
          <w:sz w:val="22"/>
          <w:szCs w:val="22"/>
          <w:color w:val="auto"/>
        </w:rPr>
      </w:pPr>
    </w:p>
    <w:p>
      <w:pPr>
        <w:ind w:left="640" w:right="180" w:hanging="315"/>
        <w:spacing w:after="0"/>
        <w:tabs>
          <w:tab w:leader="none" w:pos="640" w:val="left"/>
        </w:tabs>
        <w:numPr>
          <w:ilvl w:val="0"/>
          <w:numId w:val="9"/>
        </w:numPr>
        <w:rPr>
          <w:rFonts w:ascii="Arial" w:cs="Arial" w:eastAsia="Arial" w:hAnsi="Arial"/>
          <w:sz w:val="22"/>
          <w:szCs w:val="22"/>
          <w:color w:val="auto"/>
        </w:rPr>
      </w:pPr>
      <w:r>
        <w:rPr>
          <w:rFonts w:ascii="Arial" w:cs="Arial" w:eastAsia="Arial" w:hAnsi="Arial"/>
          <w:sz w:val="22"/>
          <w:szCs w:val="22"/>
          <w:color w:val="auto"/>
        </w:rPr>
        <w:t>a reduction in operating expenses for our market-based activities of $2,565 primarily associated with the completion of the disposition of business units within Aqua Resources, which was finalized in June 2017.</w:t>
      </w:r>
    </w:p>
    <w:p>
      <w:pPr>
        <w:spacing w:after="0" w:line="200" w:lineRule="exact"/>
        <w:rPr>
          <w:sz w:val="20"/>
          <w:szCs w:val="20"/>
          <w:color w:val="auto"/>
        </w:rPr>
      </w:pPr>
    </w:p>
    <w:p>
      <w:pPr>
        <w:spacing w:after="0" w:line="33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63500</wp:posOffset>
            </wp:positionV>
            <wp:extent cx="6114415" cy="514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114415" cy="51435"/>
                    </a:xfrm>
                    <a:prstGeom prst="rect">
                      <a:avLst/>
                    </a:prstGeom>
                    <a:noFill/>
                  </pic:spPr>
                </pic:pic>
              </a:graphicData>
            </a:graphic>
          </wp:anchor>
        </w:drawing>
      </w:r>
    </w:p>
    <w:p>
      <w:pPr>
        <w:sectPr>
          <w:pgSz w:w="11900" w:h="16838" w:orient="portrait"/>
          <w:cols w:equalWidth="0" w:num="1">
            <w:col w:w="9540"/>
          </w:cols>
          <w:pgMar w:left="1220" w:top="118" w:right="1139" w:bottom="1440" w:gutter="0" w:footer="0" w:header="0"/>
        </w:sectPr>
      </w:pPr>
    </w:p>
    <w:bookmarkStart w:id="37" w:name="page38"/>
    <w:bookmarkEnd w:id="37"/>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34"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AQUA AMERICA, INC. AND SUBSIDIARIES</w:t>
      </w:r>
    </w:p>
    <w:p>
      <w:pPr>
        <w:spacing w:after="0" w:line="233" w:lineRule="exact"/>
        <w:rPr>
          <w:sz w:val="20"/>
          <w:szCs w:val="20"/>
          <w:color w:val="auto"/>
        </w:rPr>
      </w:pPr>
    </w:p>
    <w:p>
      <w:pPr>
        <w:jc w:val="center"/>
        <w:ind w:left="1240" w:right="1420"/>
        <w:spacing w:after="0"/>
        <w:rPr>
          <w:sz w:val="20"/>
          <w:szCs w:val="20"/>
          <w:color w:val="auto"/>
        </w:rPr>
      </w:pPr>
      <w:r>
        <w:rPr>
          <w:rFonts w:ascii="Arial" w:cs="Arial" w:eastAsia="Arial" w:hAnsi="Arial"/>
          <w:sz w:val="22"/>
          <w:szCs w:val="22"/>
          <w:color w:val="auto"/>
        </w:rPr>
        <w:t>MANAGEMENT’S DISCUSSION AND ANALYSIS OF FINANCIAL CONDITION AND RESULTS OF OPERATIONS (continued) (In thousands of dollars, except per share amounts)</w:t>
      </w:r>
    </w:p>
    <w:p>
      <w:pPr>
        <w:spacing w:after="0" w:line="213" w:lineRule="exact"/>
        <w:rPr>
          <w:sz w:val="20"/>
          <w:szCs w:val="20"/>
          <w:color w:val="auto"/>
        </w:rPr>
      </w:pPr>
    </w:p>
    <w:p>
      <w:pPr>
        <w:ind w:right="260"/>
        <w:spacing w:after="0" w:line="251" w:lineRule="auto"/>
        <w:rPr>
          <w:sz w:val="20"/>
          <w:szCs w:val="20"/>
          <w:color w:val="auto"/>
        </w:rPr>
      </w:pPr>
      <w:r>
        <w:rPr>
          <w:rFonts w:ascii="Arial" w:cs="Arial" w:eastAsia="Arial" w:hAnsi="Arial"/>
          <w:sz w:val="22"/>
          <w:szCs w:val="22"/>
          <w:color w:val="auto"/>
        </w:rPr>
        <w:t>Depreciation expense increased by $8,529 or 8.4%, primarily due to the utility plant placed in service since September 30, 2017.</w:t>
      </w:r>
    </w:p>
    <w:p>
      <w:pPr>
        <w:spacing w:after="0" w:line="200" w:lineRule="exact"/>
        <w:rPr>
          <w:sz w:val="20"/>
          <w:szCs w:val="20"/>
          <w:color w:val="auto"/>
        </w:rPr>
      </w:pPr>
    </w:p>
    <w:p>
      <w:pPr>
        <w:spacing w:after="0" w:line="251" w:lineRule="auto"/>
        <w:rPr>
          <w:sz w:val="20"/>
          <w:szCs w:val="20"/>
          <w:color w:val="auto"/>
        </w:rPr>
      </w:pPr>
      <w:r>
        <w:rPr>
          <w:rFonts w:ascii="Arial" w:cs="Arial" w:eastAsia="Arial" w:hAnsi="Arial"/>
          <w:sz w:val="22"/>
          <w:szCs w:val="22"/>
          <w:color w:val="auto"/>
        </w:rPr>
        <w:t>Interest expense increased by $7,429 or 11.4%, primarily due to an increase in average borrowings, offset by a decrease in our effective interest rate.</w:t>
      </w:r>
    </w:p>
    <w:p>
      <w:pPr>
        <w:spacing w:after="0" w:line="200" w:lineRule="exact"/>
        <w:rPr>
          <w:sz w:val="20"/>
          <w:szCs w:val="20"/>
          <w:color w:val="auto"/>
        </w:rPr>
      </w:pPr>
    </w:p>
    <w:p>
      <w:pPr>
        <w:ind w:right="280"/>
        <w:spacing w:after="0" w:line="251" w:lineRule="auto"/>
        <w:rPr>
          <w:sz w:val="20"/>
          <w:szCs w:val="20"/>
          <w:color w:val="auto"/>
        </w:rPr>
      </w:pPr>
      <w:r>
        <w:rPr>
          <w:rFonts w:ascii="Arial" w:cs="Arial" w:eastAsia="Arial" w:hAnsi="Arial"/>
          <w:sz w:val="22"/>
          <w:szCs w:val="22"/>
          <w:color w:val="auto"/>
        </w:rPr>
        <w:t>AFUDC decreased by $2,060, due to a decrease in the average balance of utility plant construction work in progress, to which AFUDC is applied.</w:t>
      </w:r>
    </w:p>
    <w:p>
      <w:pPr>
        <w:spacing w:after="0" w:line="200" w:lineRule="exact"/>
        <w:rPr>
          <w:sz w:val="20"/>
          <w:szCs w:val="20"/>
          <w:color w:val="auto"/>
        </w:rPr>
      </w:pPr>
    </w:p>
    <w:p>
      <w:pPr>
        <w:ind w:right="60"/>
        <w:spacing w:after="0" w:line="251" w:lineRule="auto"/>
        <w:rPr>
          <w:sz w:val="20"/>
          <w:szCs w:val="20"/>
          <w:color w:val="auto"/>
        </w:rPr>
      </w:pPr>
      <w:r>
        <w:rPr>
          <w:rFonts w:ascii="Arial" w:cs="Arial" w:eastAsia="Arial" w:hAnsi="Arial"/>
          <w:sz w:val="22"/>
          <w:szCs w:val="22"/>
          <w:color w:val="auto"/>
        </w:rPr>
        <w:t>Equity earnings in joint venture increased by $1,106 due to an increase in the sale of raw water to firms in the natural gas drilling industry.</w:t>
      </w:r>
    </w:p>
    <w:p>
      <w:pPr>
        <w:spacing w:after="0" w:line="200" w:lineRule="exact"/>
        <w:rPr>
          <w:sz w:val="20"/>
          <w:szCs w:val="20"/>
          <w:color w:val="auto"/>
        </w:rPr>
      </w:pPr>
    </w:p>
    <w:p>
      <w:pPr>
        <w:ind w:right="180"/>
        <w:spacing w:after="0" w:line="251" w:lineRule="auto"/>
        <w:rPr>
          <w:sz w:val="20"/>
          <w:szCs w:val="20"/>
          <w:color w:val="auto"/>
        </w:rPr>
      </w:pPr>
      <w:r>
        <w:rPr>
          <w:rFonts w:ascii="Arial" w:cs="Arial" w:eastAsia="Arial" w:hAnsi="Arial"/>
          <w:sz w:val="22"/>
          <w:szCs w:val="22"/>
          <w:color w:val="auto"/>
        </w:rPr>
        <w:t>Other decreased by $2,349 primarily due to a decrease in the non-service cost components of our net benefit cost for pension and postretirement benefits.</w:t>
      </w:r>
    </w:p>
    <w:p>
      <w:pPr>
        <w:spacing w:after="0" w:line="200" w:lineRule="exact"/>
        <w:rPr>
          <w:sz w:val="20"/>
          <w:szCs w:val="20"/>
          <w:color w:val="auto"/>
        </w:rPr>
      </w:pPr>
    </w:p>
    <w:p>
      <w:pPr>
        <w:ind w:right="20"/>
        <w:spacing w:after="0" w:line="252" w:lineRule="auto"/>
        <w:rPr>
          <w:sz w:val="20"/>
          <w:szCs w:val="20"/>
          <w:color w:val="auto"/>
        </w:rPr>
      </w:pPr>
      <w:r>
        <w:rPr>
          <w:rFonts w:ascii="Arial" w:cs="Arial" w:eastAsia="Arial" w:hAnsi="Arial"/>
          <w:sz w:val="21"/>
          <w:szCs w:val="21"/>
          <w:color w:val="auto"/>
        </w:rPr>
        <w:t>Our effective income tax rate was 0.7% during the first nine months of 2018 and 6.0% during the first nine months of 2017. The effective income tax rate decreased due to the reduction in the corporate income tax rate from 35% to 21%, and the effect of additional tax deductions recognized during the first nine months of 2018 for certain qualifying infrastructure improvements for Aqua Pennsylvania.</w:t>
      </w:r>
    </w:p>
    <w:p>
      <w:pPr>
        <w:spacing w:after="0" w:line="201" w:lineRule="exact"/>
        <w:rPr>
          <w:sz w:val="20"/>
          <w:szCs w:val="20"/>
          <w:color w:val="auto"/>
        </w:rPr>
      </w:pPr>
    </w:p>
    <w:p>
      <w:pPr>
        <w:spacing w:after="0"/>
        <w:rPr>
          <w:sz w:val="20"/>
          <w:szCs w:val="20"/>
          <w:color w:val="auto"/>
        </w:rPr>
      </w:pPr>
      <w:r>
        <w:rPr>
          <w:rFonts w:ascii="Arial" w:cs="Arial" w:eastAsia="Arial" w:hAnsi="Arial"/>
          <w:sz w:val="22"/>
          <w:szCs w:val="22"/>
          <w:color w:val="auto"/>
        </w:rPr>
        <w:t>Net income increased by $9,380 or 5.0%, primarily as a result of the factors described above.</w:t>
      </w:r>
    </w:p>
    <w:p>
      <w:pPr>
        <w:spacing w:after="0" w:line="200" w:lineRule="exact"/>
        <w:rPr>
          <w:sz w:val="20"/>
          <w:szCs w:val="20"/>
          <w:color w:val="auto"/>
        </w:rPr>
      </w:pPr>
    </w:p>
    <w:p>
      <w:pPr>
        <w:spacing w:after="0" w:line="276" w:lineRule="exact"/>
        <w:rPr>
          <w:sz w:val="20"/>
          <w:szCs w:val="20"/>
          <w:color w:val="auto"/>
        </w:rPr>
      </w:pPr>
    </w:p>
    <w:p>
      <w:pPr>
        <w:jc w:val="center"/>
        <w:ind w:right="40"/>
        <w:spacing w:after="0"/>
        <w:rPr>
          <w:sz w:val="20"/>
          <w:szCs w:val="20"/>
          <w:color w:val="auto"/>
        </w:rPr>
      </w:pPr>
      <w:r>
        <w:rPr>
          <w:rFonts w:ascii="Arial" w:cs="Arial" w:eastAsia="Arial" w:hAnsi="Arial"/>
          <w:sz w:val="22"/>
          <w:szCs w:val="22"/>
          <w:u w:val="single" w:color="auto"/>
          <w:color w:val="auto"/>
        </w:rPr>
        <w:t>Impact of Recent Accounting Pronouncements</w:t>
      </w:r>
    </w:p>
    <w:p>
      <w:pPr>
        <w:spacing w:after="0" w:line="233" w:lineRule="exact"/>
        <w:rPr>
          <w:sz w:val="20"/>
          <w:szCs w:val="20"/>
          <w:color w:val="auto"/>
        </w:rPr>
      </w:pPr>
    </w:p>
    <w:p>
      <w:pPr>
        <w:ind w:right="1520"/>
        <w:spacing w:after="0" w:line="274" w:lineRule="auto"/>
        <w:rPr>
          <w:sz w:val="20"/>
          <w:szCs w:val="20"/>
          <w:color w:val="auto"/>
        </w:rPr>
      </w:pPr>
      <w:r>
        <w:rPr>
          <w:rFonts w:ascii="Arial" w:cs="Arial" w:eastAsia="Arial" w:hAnsi="Arial"/>
          <w:sz w:val="21"/>
          <w:szCs w:val="21"/>
          <w:color w:val="auto"/>
        </w:rPr>
        <w:t xml:space="preserve">We describe the impact of recent accounting pronouncements in Note 16, </w:t>
      </w:r>
      <w:r>
        <w:rPr>
          <w:rFonts w:ascii="Arial" w:cs="Arial" w:eastAsia="Arial" w:hAnsi="Arial"/>
          <w:sz w:val="21"/>
          <w:szCs w:val="21"/>
          <w:i w:val="1"/>
          <w:iCs w:val="1"/>
          <w:color w:val="auto"/>
        </w:rPr>
        <w:t>Recent Accounting</w:t>
      </w:r>
      <w:r>
        <w:rPr>
          <w:rFonts w:ascii="Arial" w:cs="Arial" w:eastAsia="Arial" w:hAnsi="Arial"/>
          <w:sz w:val="21"/>
          <w:szCs w:val="21"/>
          <w:color w:val="auto"/>
        </w:rPr>
        <w:t xml:space="preserve"> </w:t>
      </w:r>
      <w:r>
        <w:rPr>
          <w:rFonts w:ascii="Arial" w:cs="Arial" w:eastAsia="Arial" w:hAnsi="Arial"/>
          <w:sz w:val="21"/>
          <w:szCs w:val="21"/>
          <w:i w:val="1"/>
          <w:iCs w:val="1"/>
          <w:color w:val="auto"/>
        </w:rPr>
        <w:t>Pronouncements</w:t>
      </w:r>
      <w:r>
        <w:rPr>
          <w:rFonts w:ascii="Arial" w:cs="Arial" w:eastAsia="Arial" w:hAnsi="Arial"/>
          <w:sz w:val="21"/>
          <w:szCs w:val="21"/>
          <w:color w:val="auto"/>
        </w:rPr>
        <w:t>, to the consolidated financial statements in this report.</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179"/>
        <w:spacing w:after="0"/>
        <w:rPr>
          <w:sz w:val="20"/>
          <w:szCs w:val="20"/>
          <w:color w:val="auto"/>
        </w:rPr>
      </w:pPr>
      <w:r>
        <w:rPr>
          <w:rFonts w:ascii="Arial" w:cs="Arial" w:eastAsia="Arial" w:hAnsi="Arial"/>
          <w:sz w:val="22"/>
          <w:szCs w:val="22"/>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-54610</wp:posOffset>
            </wp:positionH>
            <wp:positionV relativeFrom="paragraph">
              <wp:posOffset>63500</wp:posOffset>
            </wp:positionV>
            <wp:extent cx="6303010" cy="514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303010" cy="51435"/>
                    </a:xfrm>
                    <a:prstGeom prst="rect">
                      <a:avLst/>
                    </a:prstGeom>
                    <a:noFill/>
                  </pic:spPr>
                </pic:pic>
              </a:graphicData>
            </a:graphic>
          </wp:anchor>
        </w:drawing>
      </w:r>
    </w:p>
    <w:p>
      <w:pPr>
        <w:sectPr>
          <w:pgSz w:w="11900" w:h="16838" w:orient="portrait"/>
          <w:cols w:equalWidth="0" w:num="1">
            <w:col w:w="9540"/>
          </w:cols>
          <w:pgMar w:left="1220" w:top="118" w:right="1139" w:bottom="1440" w:gutter="0" w:footer="0" w:header="0"/>
        </w:sectPr>
      </w:pPr>
    </w:p>
    <w:bookmarkStart w:id="38" w:name="page39"/>
    <w:bookmarkEnd w:id="38"/>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34" w:lineRule="exact"/>
        <w:rPr>
          <w:sz w:val="20"/>
          <w:szCs w:val="20"/>
          <w:color w:val="auto"/>
        </w:rPr>
      </w:pPr>
    </w:p>
    <w:p>
      <w:pPr>
        <w:spacing w:after="0"/>
        <w:rPr>
          <w:sz w:val="20"/>
          <w:szCs w:val="20"/>
          <w:color w:val="auto"/>
        </w:rPr>
      </w:pPr>
      <w:r>
        <w:rPr>
          <w:rFonts w:ascii="Arial" w:cs="Arial" w:eastAsia="Arial" w:hAnsi="Arial"/>
          <w:sz w:val="22"/>
          <w:szCs w:val="22"/>
          <w:color w:val="auto"/>
        </w:rPr>
        <w:t>Item 3 – Quantitative and Qualitative Disclosures About Market Risk</w:t>
      </w:r>
    </w:p>
    <w:p>
      <w:pPr>
        <w:spacing w:after="0" w:line="233" w:lineRule="exact"/>
        <w:rPr>
          <w:sz w:val="20"/>
          <w:szCs w:val="20"/>
          <w:color w:val="auto"/>
        </w:rPr>
      </w:pPr>
    </w:p>
    <w:p>
      <w:pPr>
        <w:spacing w:after="0" w:line="238" w:lineRule="auto"/>
        <w:rPr>
          <w:sz w:val="20"/>
          <w:szCs w:val="20"/>
          <w:color w:val="auto"/>
        </w:rPr>
      </w:pPr>
      <w:r>
        <w:rPr>
          <w:rFonts w:ascii="Arial" w:cs="Arial" w:eastAsia="Arial" w:hAnsi="Arial"/>
          <w:sz w:val="22"/>
          <w:szCs w:val="22"/>
          <w:color w:val="auto"/>
        </w:rPr>
        <w:t>We are subject to market risks in the normal course of business, including changes in interest rates and equity prices. There have been no significant changes in our exposure to market risks since December 31, 2017. Refer to Item 7A of the Company’s Annual Report on Form 10-K for the year ended December 31, 2017, filed February 28, 2018, for additional information.</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color w:val="auto"/>
        </w:rPr>
        <w:t>Item 4 – Controls and Procedures</w:t>
      </w:r>
    </w:p>
    <w:p>
      <w:pPr>
        <w:spacing w:after="0" w:line="233" w:lineRule="exact"/>
        <w:rPr>
          <w:sz w:val="20"/>
          <w:szCs w:val="20"/>
          <w:color w:val="auto"/>
        </w:rPr>
      </w:pPr>
    </w:p>
    <w:p>
      <w:pPr>
        <w:ind w:left="640" w:hanging="632"/>
        <w:spacing w:after="0"/>
        <w:tabs>
          <w:tab w:leader="none" w:pos="640" w:val="left"/>
        </w:tabs>
        <w:numPr>
          <w:ilvl w:val="0"/>
          <w:numId w:val="10"/>
        </w:numPr>
        <w:rPr>
          <w:rFonts w:ascii="Arial" w:cs="Arial" w:eastAsia="Arial" w:hAnsi="Arial"/>
          <w:sz w:val="22"/>
          <w:szCs w:val="22"/>
          <w:color w:val="auto"/>
        </w:rPr>
      </w:pPr>
      <w:r>
        <w:rPr>
          <w:rFonts w:ascii="Arial" w:cs="Arial" w:eastAsia="Arial" w:hAnsi="Arial"/>
          <w:sz w:val="22"/>
          <w:szCs w:val="22"/>
          <w:color w:val="auto"/>
        </w:rPr>
        <w:t>Evaluation of Disclosure Controls and Procedures</w:t>
      </w:r>
    </w:p>
    <w:p>
      <w:pPr>
        <w:spacing w:after="0" w:line="233" w:lineRule="exact"/>
        <w:rPr>
          <w:sz w:val="20"/>
          <w:szCs w:val="20"/>
          <w:color w:val="auto"/>
        </w:rPr>
      </w:pPr>
    </w:p>
    <w:p>
      <w:pPr>
        <w:spacing w:after="0" w:line="275" w:lineRule="auto"/>
        <w:rPr>
          <w:sz w:val="20"/>
          <w:szCs w:val="20"/>
          <w:color w:val="auto"/>
        </w:rPr>
      </w:pPr>
      <w:r>
        <w:rPr>
          <w:rFonts w:ascii="Arial" w:cs="Arial" w:eastAsia="Arial" w:hAnsi="Arial"/>
          <w:sz w:val="19"/>
          <w:szCs w:val="19"/>
          <w:color w:val="auto"/>
        </w:rPr>
        <w:t>Our management, with the participation of our Chief Executive Officer and Chief Financial Officer, evaluated the effectiveness of our disclosure controls and procedures as of the end of the period covered by this report. Based on that evaluation, the Chief Executive Officer and Chief Financial Officer concluded that our disclosure controls and procedures as of the end of the period covered by this report are effective such that the information required to be disclosed by us in reports filed under the Securities Exchange Act of 1934 is (i) recorded, processed, summarized and reported within the time periods specified in the Securities and Exchange Commission’s rules and forms and (ii) accumulated and communicated to our management, including the Chief Executive Officer and Chief Financial Officer, as appropriate to allow timely decisions regarding disclosure.</w:t>
      </w:r>
    </w:p>
    <w:p>
      <w:pPr>
        <w:spacing w:after="0" w:line="185" w:lineRule="exact"/>
        <w:rPr>
          <w:sz w:val="20"/>
          <w:szCs w:val="20"/>
          <w:color w:val="auto"/>
        </w:rPr>
      </w:pPr>
    </w:p>
    <w:p>
      <w:pPr>
        <w:ind w:left="640" w:hanging="632"/>
        <w:spacing w:after="0"/>
        <w:tabs>
          <w:tab w:leader="none" w:pos="640" w:val="left"/>
        </w:tabs>
        <w:numPr>
          <w:ilvl w:val="0"/>
          <w:numId w:val="11"/>
        </w:numPr>
        <w:rPr>
          <w:rFonts w:ascii="Arial" w:cs="Arial" w:eastAsia="Arial" w:hAnsi="Arial"/>
          <w:sz w:val="22"/>
          <w:szCs w:val="22"/>
          <w:color w:val="auto"/>
        </w:rPr>
      </w:pPr>
      <w:r>
        <w:rPr>
          <w:rFonts w:ascii="Arial" w:cs="Arial" w:eastAsia="Arial" w:hAnsi="Arial"/>
          <w:sz w:val="22"/>
          <w:szCs w:val="22"/>
          <w:color w:val="auto"/>
        </w:rPr>
        <w:t>Changes in Internal Control over Financial Reporting</w:t>
      </w:r>
    </w:p>
    <w:p>
      <w:pPr>
        <w:spacing w:after="0" w:line="233" w:lineRule="exact"/>
        <w:rPr>
          <w:sz w:val="20"/>
          <w:szCs w:val="20"/>
          <w:color w:val="auto"/>
        </w:rPr>
      </w:pPr>
    </w:p>
    <w:p>
      <w:pPr>
        <w:ind w:right="140"/>
        <w:spacing w:after="0" w:line="328" w:lineRule="auto"/>
        <w:rPr>
          <w:sz w:val="20"/>
          <w:szCs w:val="20"/>
          <w:color w:val="auto"/>
        </w:rPr>
      </w:pPr>
      <w:r>
        <w:rPr>
          <w:rFonts w:ascii="Arial" w:cs="Arial" w:eastAsia="Arial" w:hAnsi="Arial"/>
          <w:sz w:val="19"/>
          <w:szCs w:val="19"/>
          <w:color w:val="auto"/>
        </w:rPr>
        <w:t>No change in our internal control over financial reporting occurred during our most recent fiscal quarter that has materially affected, or is reasonably likely to materially affect, our internal control over financial reporting.</w:t>
      </w:r>
    </w:p>
    <w:p>
      <w:pPr>
        <w:spacing w:after="0" w:line="132" w:lineRule="exact"/>
        <w:rPr>
          <w:sz w:val="20"/>
          <w:szCs w:val="20"/>
          <w:color w:val="auto"/>
        </w:rPr>
      </w:pPr>
    </w:p>
    <w:p>
      <w:pPr>
        <w:ind w:left="3480"/>
        <w:spacing w:after="0"/>
        <w:rPr>
          <w:sz w:val="20"/>
          <w:szCs w:val="20"/>
          <w:color w:val="auto"/>
        </w:rPr>
      </w:pPr>
      <w:r>
        <w:rPr>
          <w:rFonts w:ascii="Arial" w:cs="Arial" w:eastAsia="Arial" w:hAnsi="Arial"/>
          <w:sz w:val="22"/>
          <w:szCs w:val="22"/>
          <w:color w:val="auto"/>
        </w:rPr>
        <w:t>Part II. Other Information</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Item 1 – Legal Proceedings</w:t>
      </w:r>
    </w:p>
    <w:p>
      <w:pPr>
        <w:spacing w:after="0" w:line="233" w:lineRule="exact"/>
        <w:rPr>
          <w:sz w:val="20"/>
          <w:szCs w:val="20"/>
          <w:color w:val="auto"/>
        </w:rPr>
      </w:pPr>
    </w:p>
    <w:p>
      <w:pPr>
        <w:ind w:right="40"/>
        <w:spacing w:after="0" w:line="252" w:lineRule="auto"/>
        <w:rPr>
          <w:sz w:val="20"/>
          <w:szCs w:val="20"/>
          <w:color w:val="auto"/>
        </w:rPr>
      </w:pPr>
      <w:r>
        <w:rPr>
          <w:rFonts w:ascii="Arial" w:cs="Arial" w:eastAsia="Arial" w:hAnsi="Arial"/>
          <w:sz w:val="21"/>
          <w:szCs w:val="21"/>
          <w:color w:val="auto"/>
        </w:rPr>
        <w:t>We are party to various legal proceedings. Although the results of legal proceedings cannot be predicted with certainty, there are no pending legal proceedings to which we or any of our subsidiaries is a party or to which any of our properties is the subject that we believe are material or are expected to have a material adverse effect on our financial position, results of operations or cash flows.</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color w:val="auto"/>
        </w:rPr>
        <w:t>Item 1A – Risk Factors</w:t>
      </w:r>
    </w:p>
    <w:p>
      <w:pPr>
        <w:spacing w:after="0" w:line="233" w:lineRule="exact"/>
        <w:rPr>
          <w:sz w:val="20"/>
          <w:szCs w:val="20"/>
          <w:color w:val="auto"/>
        </w:rPr>
      </w:pPr>
    </w:p>
    <w:p>
      <w:pPr>
        <w:ind w:right="400"/>
        <w:spacing w:after="0"/>
        <w:rPr>
          <w:sz w:val="20"/>
          <w:szCs w:val="20"/>
          <w:color w:val="auto"/>
        </w:rPr>
      </w:pPr>
      <w:r>
        <w:rPr>
          <w:rFonts w:ascii="Arial" w:cs="Arial" w:eastAsia="Arial" w:hAnsi="Arial"/>
          <w:sz w:val="22"/>
          <w:szCs w:val="22"/>
          <w:color w:val="auto"/>
        </w:rPr>
        <w:t>Please review the risks disclosed in our Annual Report on Form 10-K for the year ended December 31, 2017, filed February 28, 2018, under “Part 1, Item 1A – Risk Factors.” In addition, we provide the following risk factors:</w:t>
      </w:r>
    </w:p>
    <w:p>
      <w:pPr>
        <w:spacing w:after="0" w:line="213" w:lineRule="exact"/>
        <w:rPr>
          <w:sz w:val="20"/>
          <w:szCs w:val="20"/>
          <w:color w:val="auto"/>
        </w:rPr>
      </w:pPr>
    </w:p>
    <w:p>
      <w:pPr>
        <w:ind w:right="20"/>
        <w:spacing w:after="0" w:line="282" w:lineRule="auto"/>
        <w:rPr>
          <w:sz w:val="20"/>
          <w:szCs w:val="20"/>
          <w:color w:val="auto"/>
        </w:rPr>
      </w:pPr>
      <w:r>
        <w:rPr>
          <w:rFonts w:ascii="Arial" w:cs="Arial" w:eastAsia="Arial" w:hAnsi="Arial"/>
          <w:sz w:val="19"/>
          <w:szCs w:val="19"/>
          <w:b w:val="1"/>
          <w:bCs w:val="1"/>
          <w:i w:val="1"/>
          <w:iCs w:val="1"/>
          <w:color w:val="auto"/>
        </w:rPr>
        <w:t>Our business requires significant capital expenditures that are partially dependent on our ability to secure appropriate funding. Additionally, our pending acquisition of Peoples is dependent on our ability to secure appropriate funding. Disruptions in the capital markets may limit our access to capital, and impact the timing of the Peoples acquisition. If we are unable to obtain sufficient capital, or if the cost of borrowing increases, it may harm our business, financial condition, results of operations, and our ability to pay dividends.</w:t>
      </w:r>
    </w:p>
    <w:p>
      <w:pPr>
        <w:spacing w:after="0" w:line="175" w:lineRule="exact"/>
        <w:rPr>
          <w:sz w:val="20"/>
          <w:szCs w:val="20"/>
          <w:color w:val="auto"/>
        </w:rPr>
      </w:pPr>
    </w:p>
    <w:p>
      <w:pPr>
        <w:spacing w:after="0" w:line="328" w:lineRule="auto"/>
        <w:rPr>
          <w:sz w:val="20"/>
          <w:szCs w:val="20"/>
          <w:color w:val="auto"/>
        </w:rPr>
      </w:pPr>
      <w:r>
        <w:rPr>
          <w:rFonts w:ascii="Arial" w:cs="Arial" w:eastAsia="Arial" w:hAnsi="Arial"/>
          <w:sz w:val="19"/>
          <w:szCs w:val="19"/>
          <w:color w:val="auto"/>
        </w:rPr>
        <w:t>Our business is capital intensive. In addition to the capital required to fund customer growth through our acquisition strategy, on an annual basis, and particularly the acquisition of Peoples, we spend significant sums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63500</wp:posOffset>
            </wp:positionV>
            <wp:extent cx="6303010" cy="514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303010" cy="51435"/>
                    </a:xfrm>
                    <a:prstGeom prst="rect">
                      <a:avLst/>
                    </a:prstGeom>
                    <a:noFill/>
                  </pic:spPr>
                </pic:pic>
              </a:graphicData>
            </a:graphic>
          </wp:anchor>
        </w:drawing>
      </w:r>
    </w:p>
    <w:p>
      <w:pPr>
        <w:sectPr>
          <w:pgSz w:w="11900" w:h="16838" w:orient="portrait"/>
          <w:cols w:equalWidth="0" w:num="1">
            <w:col w:w="9860"/>
          </w:cols>
          <w:pgMar w:left="1140" w:top="118" w:right="899" w:bottom="1440" w:gutter="0" w:footer="0" w:header="0"/>
        </w:sectPr>
      </w:pPr>
    </w:p>
    <w:bookmarkStart w:id="39" w:name="page40"/>
    <w:bookmarkEnd w:id="39"/>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34" w:lineRule="exact"/>
        <w:rPr>
          <w:sz w:val="20"/>
          <w:szCs w:val="20"/>
          <w:color w:val="auto"/>
        </w:rPr>
      </w:pPr>
    </w:p>
    <w:p>
      <w:pPr>
        <w:jc w:val="both"/>
        <w:spacing w:after="0" w:line="269" w:lineRule="auto"/>
        <w:rPr>
          <w:sz w:val="20"/>
          <w:szCs w:val="20"/>
          <w:color w:val="auto"/>
        </w:rPr>
      </w:pPr>
      <w:r>
        <w:rPr>
          <w:rFonts w:ascii="Arial" w:cs="Arial" w:eastAsia="Arial" w:hAnsi="Arial"/>
          <w:sz w:val="19"/>
          <w:szCs w:val="19"/>
          <w:color w:val="auto"/>
        </w:rPr>
        <w:t>for additions to or replacement of property, plant and equipment. We obtain funds for our capital expenditures from operations, contributions and advances by developers and others, debt issuances, and equity issuances. We have paid dividends consecutively for 73 years and our Board of Directors recognizes the value that our common shareholders place on both our historical payment record and on our future dividend payments. Our ability to maintain and meet our financial objectives, including the acquisition of Peoples, is dependent upon the availability of adequate capital, and we may not be able to access the capital markets on favorable terms or at all. Further, in the event we are unable to obtain sufficient capital on favorable terms to finance the Peoples transaction, we would draw upon the committed bridge facility to complete this transaction at a higher cost of capital than desired, which would increase the overall cost of the Peoples acquisition; and, subsequently we would seek to obtain permanent financing to replace the borrowings under the bridge facility. If in the future, our credit facilities are not renewed or our short-term borrowings are called for repayment, we would need to seek alternative financing sources; however, there can be no assurance that these alternative financing sources would be available on terms acceptable to us. In the event we are unable to obtain sufficient capital, we may need to take steps to conserve cash by reducing our capital expenditures or dividend payments and our ability to pursue acquisitions may be limited. The reduction in capital expenditures may result in reduced potential earnings growth, affect our ability to meet environmental laws and regulations, and limit our ability to improve or expand our utility systems to the level we believe appropriate. There is no guarantee that we will be able to obtain sufficient capital in the future on reasonable terms and conditions for expansion, construction and maintenance. In addition, delays in completing major capital projects could delay the recovery of the capital expenditures associated with such projects through rates. If the cost of borrowing increases, we might not be able to recover increases in our cost of capital through rates. The inability to recover higher borrowing costs through rates, or the regulatory lag associated with the time that it takes to begin recovery, may harm our business, financial condition, and results of operations.</w:t>
      </w:r>
    </w:p>
    <w:p>
      <w:pPr>
        <w:spacing w:after="0" w:line="200" w:lineRule="exact"/>
        <w:rPr>
          <w:sz w:val="20"/>
          <w:szCs w:val="20"/>
          <w:color w:val="auto"/>
        </w:rPr>
      </w:pPr>
    </w:p>
    <w:p>
      <w:pPr>
        <w:spacing w:after="0" w:line="247" w:lineRule="exact"/>
        <w:rPr>
          <w:sz w:val="20"/>
          <w:szCs w:val="20"/>
          <w:color w:val="auto"/>
        </w:rPr>
      </w:pPr>
    </w:p>
    <w:p>
      <w:pPr>
        <w:ind w:right="480"/>
        <w:spacing w:after="0" w:line="252" w:lineRule="auto"/>
        <w:rPr>
          <w:sz w:val="20"/>
          <w:szCs w:val="20"/>
          <w:color w:val="auto"/>
        </w:rPr>
      </w:pPr>
      <w:r>
        <w:rPr>
          <w:rFonts w:ascii="Arial" w:cs="Arial" w:eastAsia="Arial" w:hAnsi="Arial"/>
          <w:sz w:val="21"/>
          <w:szCs w:val="21"/>
          <w:b w:val="1"/>
          <w:bCs w:val="1"/>
          <w:i w:val="1"/>
          <w:iCs w:val="1"/>
          <w:color w:val="auto"/>
        </w:rPr>
        <w:t>One of the important elements of our growth strategy is the acquisition of water and wastewater utility systems. Any acquisition we decide to undertake may involve risks. Further, competition for acquisition opportunities from other regulated utilities, governmental entities, and strategic and financial buyers may hinder our ability to grow our business.</w:t>
      </w:r>
    </w:p>
    <w:p>
      <w:pPr>
        <w:spacing w:after="0" w:line="201" w:lineRule="exact"/>
        <w:rPr>
          <w:sz w:val="20"/>
          <w:szCs w:val="20"/>
          <w:color w:val="auto"/>
        </w:rPr>
      </w:pPr>
    </w:p>
    <w:p>
      <w:pPr>
        <w:ind w:right="40"/>
        <w:spacing w:after="0" w:line="277" w:lineRule="auto"/>
        <w:rPr>
          <w:sz w:val="20"/>
          <w:szCs w:val="20"/>
          <w:color w:val="auto"/>
        </w:rPr>
      </w:pPr>
      <w:r>
        <w:rPr>
          <w:rFonts w:ascii="Arial" w:cs="Arial" w:eastAsia="Arial" w:hAnsi="Arial"/>
          <w:sz w:val="19"/>
          <w:szCs w:val="19"/>
          <w:color w:val="auto"/>
        </w:rPr>
        <w:t>One important element of our growth strategy is the acquisition and integration of water and wastewater utility systems in order to broaden our service areas. In addition, the acquisition of Peoples is an opportunity to broaden our services and states of operation. We will not be able to acquire other businesses if we cannot identify suitable acquisition opportunities or reach mutually agreeable terms with acquisition candidates. It is our intent, when practical, to integrate any businesses we acquire with our existing operations. The negotiation of potential acquisitions as well as the integration of acquired businesses could require us to incur significant costs and cause diversion of our management's time and resources. Future acquisitions by us could result in:</w:t>
      </w:r>
    </w:p>
    <w:p>
      <w:pPr>
        <w:spacing w:after="0" w:line="180" w:lineRule="exact"/>
        <w:rPr>
          <w:sz w:val="20"/>
          <w:szCs w:val="20"/>
          <w:color w:val="auto"/>
        </w:rPr>
      </w:pPr>
    </w:p>
    <w:p>
      <w:pPr>
        <w:ind w:left="660" w:hanging="328"/>
        <w:spacing w:after="0"/>
        <w:tabs>
          <w:tab w:leader="none" w:pos="660" w:val="left"/>
        </w:tabs>
        <w:numPr>
          <w:ilvl w:val="0"/>
          <w:numId w:val="12"/>
        </w:numPr>
        <w:rPr>
          <w:rFonts w:ascii="Arial" w:cs="Arial" w:eastAsia="Arial" w:hAnsi="Arial"/>
          <w:sz w:val="22"/>
          <w:szCs w:val="22"/>
          <w:color w:val="auto"/>
        </w:rPr>
      </w:pPr>
      <w:r>
        <w:rPr>
          <w:rFonts w:ascii="Arial" w:cs="Arial" w:eastAsia="Arial" w:hAnsi="Arial"/>
          <w:sz w:val="22"/>
          <w:szCs w:val="22"/>
          <w:color w:val="auto"/>
        </w:rPr>
        <w:t>dilutive issuances of our equity securities;</w:t>
      </w:r>
    </w:p>
    <w:p>
      <w:pPr>
        <w:spacing w:after="0" w:line="8" w:lineRule="exact"/>
        <w:rPr>
          <w:rFonts w:ascii="Arial" w:cs="Arial" w:eastAsia="Arial" w:hAnsi="Arial"/>
          <w:sz w:val="22"/>
          <w:szCs w:val="22"/>
          <w:color w:val="auto"/>
        </w:rPr>
      </w:pPr>
    </w:p>
    <w:p>
      <w:pPr>
        <w:ind w:left="660" w:hanging="328"/>
        <w:spacing w:after="0" w:line="230" w:lineRule="auto"/>
        <w:tabs>
          <w:tab w:leader="none" w:pos="660" w:val="left"/>
        </w:tabs>
        <w:numPr>
          <w:ilvl w:val="0"/>
          <w:numId w:val="12"/>
        </w:numPr>
        <w:rPr>
          <w:rFonts w:ascii="Arial" w:cs="Arial" w:eastAsia="Arial" w:hAnsi="Arial"/>
          <w:sz w:val="22"/>
          <w:szCs w:val="22"/>
          <w:color w:val="auto"/>
        </w:rPr>
      </w:pPr>
      <w:r>
        <w:rPr>
          <w:rFonts w:ascii="Arial" w:cs="Arial" w:eastAsia="Arial" w:hAnsi="Arial"/>
          <w:sz w:val="22"/>
          <w:szCs w:val="22"/>
          <w:color w:val="auto"/>
        </w:rPr>
        <w:t>incurrence of debt, contingent liabilities, and environmental liabilities;</w:t>
      </w:r>
    </w:p>
    <w:p>
      <w:pPr>
        <w:ind w:left="660" w:hanging="328"/>
        <w:spacing w:after="0" w:line="230" w:lineRule="auto"/>
        <w:tabs>
          <w:tab w:leader="none" w:pos="660" w:val="left"/>
        </w:tabs>
        <w:numPr>
          <w:ilvl w:val="0"/>
          <w:numId w:val="12"/>
        </w:numPr>
        <w:rPr>
          <w:rFonts w:ascii="Arial" w:cs="Arial" w:eastAsia="Arial" w:hAnsi="Arial"/>
          <w:sz w:val="22"/>
          <w:szCs w:val="22"/>
          <w:color w:val="auto"/>
        </w:rPr>
      </w:pPr>
      <w:r>
        <w:rPr>
          <w:rFonts w:ascii="Arial" w:cs="Arial" w:eastAsia="Arial" w:hAnsi="Arial"/>
          <w:sz w:val="22"/>
          <w:szCs w:val="22"/>
          <w:color w:val="auto"/>
        </w:rPr>
        <w:t>unanticipated capital expenditures;</w:t>
      </w:r>
    </w:p>
    <w:p>
      <w:pPr>
        <w:ind w:left="660" w:hanging="328"/>
        <w:spacing w:after="0" w:line="230" w:lineRule="auto"/>
        <w:tabs>
          <w:tab w:leader="none" w:pos="660" w:val="left"/>
        </w:tabs>
        <w:numPr>
          <w:ilvl w:val="0"/>
          <w:numId w:val="12"/>
        </w:numPr>
        <w:rPr>
          <w:rFonts w:ascii="Arial" w:cs="Arial" w:eastAsia="Arial" w:hAnsi="Arial"/>
          <w:sz w:val="22"/>
          <w:szCs w:val="22"/>
          <w:color w:val="auto"/>
        </w:rPr>
      </w:pPr>
      <w:r>
        <w:rPr>
          <w:rFonts w:ascii="Arial" w:cs="Arial" w:eastAsia="Arial" w:hAnsi="Arial"/>
          <w:sz w:val="22"/>
          <w:szCs w:val="22"/>
          <w:color w:val="auto"/>
        </w:rPr>
        <w:t>failure to maintain effective internal control over financial reporting;</w:t>
      </w:r>
    </w:p>
    <w:p>
      <w:pPr>
        <w:ind w:left="660" w:right="320" w:hanging="328"/>
        <w:spacing w:after="0" w:line="241" w:lineRule="auto"/>
        <w:tabs>
          <w:tab w:leader="none" w:pos="660" w:val="left"/>
        </w:tabs>
        <w:numPr>
          <w:ilvl w:val="0"/>
          <w:numId w:val="12"/>
        </w:numPr>
        <w:rPr>
          <w:rFonts w:ascii="Arial" w:cs="Arial" w:eastAsia="Arial" w:hAnsi="Arial"/>
          <w:sz w:val="21"/>
          <w:szCs w:val="21"/>
          <w:color w:val="auto"/>
        </w:rPr>
      </w:pPr>
      <w:r>
        <w:rPr>
          <w:rFonts w:ascii="Arial" w:cs="Arial" w:eastAsia="Arial" w:hAnsi="Arial"/>
          <w:sz w:val="21"/>
          <w:szCs w:val="21"/>
          <w:color w:val="auto"/>
        </w:rPr>
        <w:t>recording goodwill and other intangible assets for which we may never realize their full value and may result in an asset impairment that may negatively affect our results of operations;</w:t>
      </w:r>
    </w:p>
    <w:p>
      <w:pPr>
        <w:spacing w:after="0" w:line="1" w:lineRule="exact"/>
        <w:rPr>
          <w:rFonts w:ascii="Arial" w:cs="Arial" w:eastAsia="Arial" w:hAnsi="Arial"/>
          <w:sz w:val="21"/>
          <w:szCs w:val="21"/>
          <w:color w:val="auto"/>
        </w:rPr>
      </w:pPr>
    </w:p>
    <w:p>
      <w:pPr>
        <w:ind w:left="660" w:hanging="328"/>
        <w:spacing w:after="0" w:line="230" w:lineRule="auto"/>
        <w:tabs>
          <w:tab w:leader="none" w:pos="660" w:val="left"/>
        </w:tabs>
        <w:numPr>
          <w:ilvl w:val="0"/>
          <w:numId w:val="12"/>
        </w:numPr>
        <w:rPr>
          <w:rFonts w:ascii="Arial" w:cs="Arial" w:eastAsia="Arial" w:hAnsi="Arial"/>
          <w:sz w:val="22"/>
          <w:szCs w:val="22"/>
          <w:color w:val="auto"/>
        </w:rPr>
      </w:pPr>
      <w:r>
        <w:rPr>
          <w:rFonts w:ascii="Arial" w:cs="Arial" w:eastAsia="Arial" w:hAnsi="Arial"/>
          <w:sz w:val="22"/>
          <w:szCs w:val="22"/>
          <w:color w:val="auto"/>
        </w:rPr>
        <w:t>fluctuations in quarterly results;</w:t>
      </w:r>
    </w:p>
    <w:p>
      <w:pPr>
        <w:ind w:left="660" w:hanging="328"/>
        <w:spacing w:after="0" w:line="230" w:lineRule="auto"/>
        <w:tabs>
          <w:tab w:leader="none" w:pos="660" w:val="left"/>
        </w:tabs>
        <w:numPr>
          <w:ilvl w:val="0"/>
          <w:numId w:val="12"/>
        </w:numPr>
        <w:rPr>
          <w:rFonts w:ascii="Arial" w:cs="Arial" w:eastAsia="Arial" w:hAnsi="Arial"/>
          <w:sz w:val="22"/>
          <w:szCs w:val="22"/>
          <w:color w:val="auto"/>
        </w:rPr>
      </w:pPr>
      <w:r>
        <w:rPr>
          <w:rFonts w:ascii="Arial" w:cs="Arial" w:eastAsia="Arial" w:hAnsi="Arial"/>
          <w:sz w:val="22"/>
          <w:szCs w:val="22"/>
          <w:color w:val="auto"/>
        </w:rPr>
        <w:t>other acquisition related expenses; and</w:t>
      </w:r>
    </w:p>
    <w:p>
      <w:pPr>
        <w:ind w:left="660" w:hanging="328"/>
        <w:spacing w:after="0"/>
        <w:tabs>
          <w:tab w:leader="none" w:pos="660" w:val="left"/>
        </w:tabs>
        <w:numPr>
          <w:ilvl w:val="0"/>
          <w:numId w:val="12"/>
        </w:numPr>
        <w:rPr>
          <w:rFonts w:ascii="Arial" w:cs="Arial" w:eastAsia="Arial" w:hAnsi="Arial"/>
          <w:sz w:val="22"/>
          <w:szCs w:val="22"/>
          <w:color w:val="auto"/>
        </w:rPr>
      </w:pPr>
      <w:r>
        <w:rPr>
          <w:rFonts w:ascii="Arial" w:cs="Arial" w:eastAsia="Arial" w:hAnsi="Arial"/>
          <w:sz w:val="22"/>
          <w:szCs w:val="22"/>
          <w:color w:val="auto"/>
        </w:rPr>
        <w:t>exposure to unknown or unexpected risks and liabilities.</w:t>
      </w:r>
    </w:p>
    <w:p>
      <w:pPr>
        <w:spacing w:after="0" w:line="215" w:lineRule="exact"/>
        <w:rPr>
          <w:sz w:val="20"/>
          <w:szCs w:val="20"/>
          <w:color w:val="auto"/>
        </w:rPr>
      </w:pPr>
    </w:p>
    <w:p>
      <w:pPr>
        <w:ind w:right="380"/>
        <w:spacing w:after="0" w:line="328" w:lineRule="auto"/>
        <w:rPr>
          <w:sz w:val="20"/>
          <w:szCs w:val="20"/>
          <w:color w:val="auto"/>
        </w:rPr>
      </w:pPr>
      <w:r>
        <w:rPr>
          <w:rFonts w:ascii="Arial" w:cs="Arial" w:eastAsia="Arial" w:hAnsi="Arial"/>
          <w:sz w:val="19"/>
          <w:szCs w:val="19"/>
          <w:color w:val="auto"/>
        </w:rPr>
        <w:t>Some or all of these items could harm our business and our ability to finance our business and to comply with regulatory requirements. Additionally, the Peoples acquisition is subject to obtaining state and federal</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63500</wp:posOffset>
            </wp:positionV>
            <wp:extent cx="6303010" cy="514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303010" cy="51435"/>
                    </a:xfrm>
                    <a:prstGeom prst="rect">
                      <a:avLst/>
                    </a:prstGeom>
                    <a:noFill/>
                  </pic:spPr>
                </pic:pic>
              </a:graphicData>
            </a:graphic>
          </wp:anchor>
        </w:drawing>
      </w:r>
    </w:p>
    <w:p>
      <w:pPr>
        <w:sectPr>
          <w:pgSz w:w="11900" w:h="16838" w:orient="portrait"/>
          <w:cols w:equalWidth="0" w:num="1">
            <w:col w:w="9880"/>
          </w:cols>
          <w:pgMar w:left="1140" w:top="118" w:right="879" w:bottom="1440" w:gutter="0" w:footer="0" w:header="0"/>
        </w:sectPr>
      </w:pPr>
    </w:p>
    <w:bookmarkStart w:id="40" w:name="page41"/>
    <w:bookmarkEnd w:id="40"/>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34" w:lineRule="exact"/>
        <w:rPr>
          <w:sz w:val="20"/>
          <w:szCs w:val="20"/>
          <w:color w:val="auto"/>
        </w:rPr>
      </w:pPr>
    </w:p>
    <w:p>
      <w:pPr>
        <w:spacing w:after="0" w:line="236" w:lineRule="auto"/>
        <w:rPr>
          <w:sz w:val="20"/>
          <w:szCs w:val="20"/>
          <w:color w:val="auto"/>
        </w:rPr>
      </w:pPr>
      <w:r>
        <w:rPr>
          <w:rFonts w:ascii="Arial" w:cs="Arial" w:eastAsia="Arial" w:hAnsi="Arial"/>
          <w:sz w:val="22"/>
          <w:szCs w:val="22"/>
          <w:color w:val="auto"/>
        </w:rPr>
        <w:t>regulatory approvals, which approvals may be denied or subject to burdensome conditions. The businesses we acquire in the future, as well as Peoples, may not achieve sales and profitability that would justify our investment, and any difficulties we encounter in the integration process, including in the integration of processes necessary for internal control and financial reporting, could interfere with our operations, reduce our operating margins and harm our internal controls.</w:t>
      </w:r>
    </w:p>
    <w:p>
      <w:pPr>
        <w:spacing w:after="0" w:line="215" w:lineRule="exact"/>
        <w:rPr>
          <w:sz w:val="20"/>
          <w:szCs w:val="20"/>
          <w:color w:val="auto"/>
        </w:rPr>
      </w:pPr>
    </w:p>
    <w:p>
      <w:pPr>
        <w:spacing w:after="0" w:line="273" w:lineRule="auto"/>
        <w:rPr>
          <w:sz w:val="20"/>
          <w:szCs w:val="20"/>
          <w:color w:val="auto"/>
        </w:rPr>
      </w:pPr>
      <w:r>
        <w:rPr>
          <w:rFonts w:ascii="Arial" w:cs="Arial" w:eastAsia="Arial" w:hAnsi="Arial"/>
          <w:sz w:val="19"/>
          <w:szCs w:val="19"/>
          <w:color w:val="auto"/>
        </w:rPr>
        <w:t>Some states in which we operate allow the respective public utility commissions to use fair market value to set ratemaking rate base instead of the traditional depreciated original cost of water or wastewater assets for certain qualifying municipal acquisitions. Depending on the state, there are varying rules and circumstances in which fair value is determined. One state’s regulations allows ratemaking rate base to equal the lower of the average of the appraisals or the purchase price, and is subject to regulatory approval. There may be situations where we may pay more than the ultimate fair value of the utility assets as set by the regulatory commission, despite the fair value legislation suggesting its full recovery. In these situations, goodwill may be recognized to the extent there is an excess purchase price over the fair value of net tangible and identifiable intangible assets acquired through acquisition. Our financial condition and results of operations can be harmed by an inability to earn a return on, and recover our purchase price as a component of rate base.</w:t>
      </w:r>
    </w:p>
    <w:p>
      <w:pPr>
        <w:spacing w:after="0" w:line="189" w:lineRule="exact"/>
        <w:rPr>
          <w:sz w:val="20"/>
          <w:szCs w:val="20"/>
          <w:color w:val="auto"/>
        </w:rPr>
      </w:pPr>
    </w:p>
    <w:p>
      <w:pPr>
        <w:ind w:right="40"/>
        <w:spacing w:after="0" w:line="244" w:lineRule="auto"/>
        <w:rPr>
          <w:sz w:val="20"/>
          <w:szCs w:val="20"/>
          <w:color w:val="auto"/>
        </w:rPr>
      </w:pPr>
      <w:r>
        <w:rPr>
          <w:rFonts w:ascii="Arial" w:cs="Arial" w:eastAsia="Arial" w:hAnsi="Arial"/>
          <w:sz w:val="21"/>
          <w:szCs w:val="21"/>
          <w:color w:val="auto"/>
        </w:rPr>
        <w:t>We compete with governmental entities, other regulated utilities, and strategic and financial buyers, for acquisition opportunities. As consolidation becomes more prevalent in the utility industry and competition for acquisitions increases, the prices for suitable acquisition candidates may increase to unacceptable levels and limit our ability to grow through acquisitions. In addition, our competitors may impede our growth by purchasing utilities near our existing operations, thereby preventing us from acquiring them. Governmental entities or environmental / social activist groups have challenged, and may in the future challenge our efforts to acquire new service territories, particularly from municipalities or municipal authorities. Higher purchase prices and resulting rates may limit our ability to invest additional capital for system maintenance and upgrades in an optimal manner. Our growth could be hindered if we are not able to compete effectively for new companies and/or service territories with other companies or strategic and financial buyers that have lower costs of operations or capital, or that submit more attractive bids. Any of these risks may harm our business, financial condition, and results of operations.</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63500</wp:posOffset>
            </wp:positionV>
            <wp:extent cx="6303010" cy="514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303010" cy="51435"/>
                    </a:xfrm>
                    <a:prstGeom prst="rect">
                      <a:avLst/>
                    </a:prstGeom>
                    <a:noFill/>
                  </pic:spPr>
                </pic:pic>
              </a:graphicData>
            </a:graphic>
          </wp:anchor>
        </w:drawing>
      </w:r>
    </w:p>
    <w:p>
      <w:pPr>
        <w:sectPr>
          <w:pgSz w:w="11900" w:h="16838" w:orient="portrait"/>
          <w:cols w:equalWidth="0" w:num="1">
            <w:col w:w="9860"/>
          </w:cols>
          <w:pgMar w:left="1140" w:top="118" w:right="899" w:bottom="1440" w:gutter="0" w:footer="0" w:header="0"/>
        </w:sectPr>
      </w:pPr>
    </w:p>
    <w:bookmarkStart w:id="41" w:name="page42"/>
    <w:bookmarkEnd w:id="41"/>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34" w:lineRule="exact"/>
        <w:rPr>
          <w:sz w:val="20"/>
          <w:szCs w:val="20"/>
          <w:color w:val="auto"/>
        </w:rPr>
      </w:pPr>
    </w:p>
    <w:p>
      <w:pPr>
        <w:spacing w:after="0"/>
        <w:rPr>
          <w:sz w:val="20"/>
          <w:szCs w:val="20"/>
          <w:color w:val="auto"/>
        </w:rPr>
      </w:pPr>
      <w:r>
        <w:rPr>
          <w:rFonts w:ascii="Arial" w:cs="Arial" w:eastAsia="Arial" w:hAnsi="Arial"/>
          <w:sz w:val="22"/>
          <w:szCs w:val="22"/>
          <w:color w:val="auto"/>
        </w:rPr>
        <w:t>Item 2 – Unregistered Sales of Equity Securities and Use of Proceeds</w:t>
      </w:r>
    </w:p>
    <w:p>
      <w:pPr>
        <w:spacing w:after="0" w:line="233" w:lineRule="exact"/>
        <w:rPr>
          <w:sz w:val="20"/>
          <w:szCs w:val="20"/>
          <w:color w:val="auto"/>
        </w:rPr>
      </w:pPr>
    </w:p>
    <w:p>
      <w:pPr>
        <w:ind w:right="20"/>
        <w:spacing w:after="0" w:line="251" w:lineRule="auto"/>
        <w:rPr>
          <w:sz w:val="20"/>
          <w:szCs w:val="20"/>
          <w:color w:val="auto"/>
        </w:rPr>
      </w:pPr>
      <w:r>
        <w:rPr>
          <w:rFonts w:ascii="Arial" w:cs="Arial" w:eastAsia="Arial" w:hAnsi="Arial"/>
          <w:sz w:val="22"/>
          <w:szCs w:val="22"/>
          <w:color w:val="auto"/>
        </w:rPr>
        <w:t>The following table summarizes the Company’s purchases of its common stock for the quarter ended September 30, 2018:</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420" w:type="dxa"/>
            <w:vAlign w:val="bottom"/>
          </w:tcPr>
          <w:p>
            <w:pPr>
              <w:spacing w:after="0"/>
              <w:rPr>
                <w:sz w:val="21"/>
                <w:szCs w:val="21"/>
                <w:color w:val="auto"/>
              </w:rPr>
            </w:pPr>
          </w:p>
        </w:tc>
        <w:tc>
          <w:tcPr>
            <w:tcW w:w="3660" w:type="dxa"/>
            <w:vAlign w:val="bottom"/>
            <w:gridSpan w:val="7"/>
          </w:tcPr>
          <w:p>
            <w:pPr>
              <w:jc w:val="right"/>
              <w:ind w:right="460"/>
              <w:spacing w:after="0"/>
              <w:rPr>
                <w:sz w:val="20"/>
                <w:szCs w:val="20"/>
                <w:color w:val="auto"/>
              </w:rPr>
            </w:pPr>
            <w:r>
              <w:rPr>
                <w:rFonts w:ascii="Arial" w:cs="Arial" w:eastAsia="Arial" w:hAnsi="Arial"/>
                <w:sz w:val="22"/>
                <w:szCs w:val="22"/>
                <w:color w:val="auto"/>
                <w:w w:val="87"/>
              </w:rPr>
              <w:t>Issuer Purchases of Equity Securities</w:t>
            </w:r>
          </w:p>
        </w:tc>
        <w:tc>
          <w:tcPr>
            <w:tcW w:w="1620" w:type="dxa"/>
            <w:vAlign w:val="bottom"/>
            <w:gridSpan w:val="2"/>
            <w:vMerge w:val="restart"/>
          </w:tcPr>
          <w:p>
            <w:pPr>
              <w:jc w:val="right"/>
              <w:ind w:right="240"/>
              <w:spacing w:after="0"/>
              <w:rPr>
                <w:sz w:val="20"/>
                <w:szCs w:val="20"/>
                <w:color w:val="auto"/>
              </w:rPr>
            </w:pPr>
            <w:r>
              <w:rPr>
                <w:rFonts w:ascii="Arial" w:cs="Arial" w:eastAsia="Arial" w:hAnsi="Arial"/>
                <w:sz w:val="22"/>
                <w:szCs w:val="22"/>
                <w:color w:val="auto"/>
              </w:rPr>
              <w:t>Total</w:t>
            </w:r>
          </w:p>
        </w:tc>
        <w:tc>
          <w:tcPr>
            <w:tcW w:w="1600" w:type="dxa"/>
            <w:vAlign w:val="bottom"/>
            <w:vMerge w:val="restart"/>
          </w:tcPr>
          <w:p>
            <w:pPr>
              <w:jc w:val="right"/>
              <w:spacing w:after="0"/>
              <w:rPr>
                <w:sz w:val="20"/>
                <w:szCs w:val="20"/>
                <w:color w:val="auto"/>
              </w:rPr>
            </w:pPr>
            <w:r>
              <w:rPr>
                <w:rFonts w:ascii="Arial" w:cs="Arial" w:eastAsia="Arial" w:hAnsi="Arial"/>
                <w:sz w:val="22"/>
                <w:szCs w:val="22"/>
                <w:color w:val="auto"/>
              </w:rPr>
              <w:t>Maximum</w:t>
            </w: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420" w:type="dxa"/>
            <w:vAlign w:val="bottom"/>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1680" w:type="dxa"/>
            <w:vAlign w:val="bottom"/>
            <w:tcBorders>
              <w:top w:val="single" w:sz="8" w:color="auto"/>
            </w:tcBorders>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420" w:type="dxa"/>
            <w:vAlign w:val="bottom"/>
            <w:tcBorders>
              <w:top w:val="single" w:sz="8" w:color="auto"/>
            </w:tcBorders>
          </w:tcPr>
          <w:p>
            <w:pPr>
              <w:spacing w:after="0"/>
              <w:rPr>
                <w:sz w:val="21"/>
                <w:szCs w:val="21"/>
                <w:color w:val="auto"/>
              </w:rPr>
            </w:pPr>
          </w:p>
        </w:tc>
        <w:tc>
          <w:tcPr>
            <w:tcW w:w="860" w:type="dxa"/>
            <w:vAlign w:val="bottom"/>
            <w:tcBorders>
              <w:top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620" w:type="dxa"/>
            <w:vAlign w:val="bottom"/>
            <w:gridSpan w:val="2"/>
            <w:vMerge w:val="continue"/>
          </w:tcPr>
          <w:p>
            <w:pPr>
              <w:spacing w:after="0"/>
              <w:rPr>
                <w:sz w:val="21"/>
                <w:szCs w:val="21"/>
                <w:color w:val="auto"/>
              </w:rPr>
            </w:pPr>
          </w:p>
        </w:tc>
        <w:tc>
          <w:tcPr>
            <w:tcW w:w="16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4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620" w:type="dxa"/>
            <w:vAlign w:val="bottom"/>
            <w:gridSpan w:val="2"/>
          </w:tcPr>
          <w:p>
            <w:pPr>
              <w:jc w:val="right"/>
              <w:ind w:right="240"/>
              <w:spacing w:after="0" w:line="243" w:lineRule="exact"/>
              <w:rPr>
                <w:sz w:val="20"/>
                <w:szCs w:val="20"/>
                <w:color w:val="auto"/>
              </w:rPr>
            </w:pPr>
            <w:r>
              <w:rPr>
                <w:rFonts w:ascii="Arial" w:cs="Arial" w:eastAsia="Arial" w:hAnsi="Arial"/>
                <w:sz w:val="22"/>
                <w:szCs w:val="22"/>
                <w:color w:val="auto"/>
              </w:rPr>
              <w:t>Number of</w:t>
            </w:r>
          </w:p>
        </w:tc>
        <w:tc>
          <w:tcPr>
            <w:tcW w:w="1600" w:type="dxa"/>
            <w:vAlign w:val="bottom"/>
          </w:tcPr>
          <w:p>
            <w:pPr>
              <w:jc w:val="right"/>
              <w:spacing w:after="0" w:line="243" w:lineRule="exact"/>
              <w:rPr>
                <w:sz w:val="20"/>
                <w:szCs w:val="20"/>
                <w:color w:val="auto"/>
              </w:rPr>
            </w:pPr>
            <w:r>
              <w:rPr>
                <w:rFonts w:ascii="Arial" w:cs="Arial" w:eastAsia="Arial" w:hAnsi="Arial"/>
                <w:sz w:val="22"/>
                <w:szCs w:val="22"/>
                <w:color w:val="auto"/>
              </w:rPr>
              <w:t>Number of</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4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620" w:type="dxa"/>
            <w:vAlign w:val="bottom"/>
            <w:gridSpan w:val="2"/>
          </w:tcPr>
          <w:p>
            <w:pPr>
              <w:jc w:val="right"/>
              <w:ind w:right="240"/>
              <w:spacing w:after="0" w:line="243" w:lineRule="exact"/>
              <w:rPr>
                <w:sz w:val="20"/>
                <w:szCs w:val="20"/>
                <w:color w:val="auto"/>
              </w:rPr>
            </w:pPr>
            <w:r>
              <w:rPr>
                <w:rFonts w:ascii="Arial" w:cs="Arial" w:eastAsia="Arial" w:hAnsi="Arial"/>
                <w:sz w:val="22"/>
                <w:szCs w:val="22"/>
                <w:color w:val="auto"/>
              </w:rPr>
              <w:t>Shares</w:t>
            </w:r>
          </w:p>
        </w:tc>
        <w:tc>
          <w:tcPr>
            <w:tcW w:w="1600" w:type="dxa"/>
            <w:vAlign w:val="bottom"/>
          </w:tcPr>
          <w:p>
            <w:pPr>
              <w:jc w:val="right"/>
              <w:spacing w:after="0" w:line="243" w:lineRule="exact"/>
              <w:rPr>
                <w:sz w:val="20"/>
                <w:szCs w:val="20"/>
                <w:color w:val="auto"/>
              </w:rPr>
            </w:pPr>
            <w:r>
              <w:rPr>
                <w:rFonts w:ascii="Arial" w:cs="Arial" w:eastAsia="Arial" w:hAnsi="Arial"/>
                <w:sz w:val="22"/>
                <w:szCs w:val="22"/>
                <w:color w:val="auto"/>
              </w:rPr>
              <w:t>Shares</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4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620" w:type="dxa"/>
            <w:vAlign w:val="bottom"/>
            <w:gridSpan w:val="2"/>
          </w:tcPr>
          <w:p>
            <w:pPr>
              <w:jc w:val="right"/>
              <w:ind w:right="240"/>
              <w:spacing w:after="0" w:line="243" w:lineRule="exact"/>
              <w:rPr>
                <w:sz w:val="20"/>
                <w:szCs w:val="20"/>
                <w:color w:val="auto"/>
              </w:rPr>
            </w:pPr>
            <w:r>
              <w:rPr>
                <w:rFonts w:ascii="Arial" w:cs="Arial" w:eastAsia="Arial" w:hAnsi="Arial"/>
                <w:sz w:val="22"/>
                <w:szCs w:val="22"/>
                <w:color w:val="auto"/>
              </w:rPr>
              <w:t>Purchased</w:t>
            </w:r>
          </w:p>
        </w:tc>
        <w:tc>
          <w:tcPr>
            <w:tcW w:w="1600" w:type="dxa"/>
            <w:vAlign w:val="bottom"/>
          </w:tcPr>
          <w:p>
            <w:pPr>
              <w:jc w:val="right"/>
              <w:spacing w:after="0" w:line="243" w:lineRule="exact"/>
              <w:rPr>
                <w:sz w:val="20"/>
                <w:szCs w:val="20"/>
                <w:color w:val="auto"/>
              </w:rPr>
            </w:pPr>
            <w:r>
              <w:rPr>
                <w:rFonts w:ascii="Arial" w:cs="Arial" w:eastAsia="Arial" w:hAnsi="Arial"/>
                <w:sz w:val="22"/>
                <w:szCs w:val="22"/>
                <w:color w:val="auto"/>
              </w:rPr>
              <w:t>that May</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4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620" w:type="dxa"/>
            <w:vAlign w:val="bottom"/>
            <w:gridSpan w:val="2"/>
          </w:tcPr>
          <w:p>
            <w:pPr>
              <w:jc w:val="right"/>
              <w:ind w:right="240"/>
              <w:spacing w:after="0" w:line="243" w:lineRule="exact"/>
              <w:rPr>
                <w:sz w:val="20"/>
                <w:szCs w:val="20"/>
                <w:color w:val="auto"/>
              </w:rPr>
            </w:pPr>
            <w:r>
              <w:rPr>
                <w:rFonts w:ascii="Arial" w:cs="Arial" w:eastAsia="Arial" w:hAnsi="Arial"/>
                <w:sz w:val="22"/>
                <w:szCs w:val="22"/>
                <w:color w:val="auto"/>
              </w:rPr>
              <w:t>as Part of</w:t>
            </w:r>
          </w:p>
        </w:tc>
        <w:tc>
          <w:tcPr>
            <w:tcW w:w="1600" w:type="dxa"/>
            <w:vAlign w:val="bottom"/>
          </w:tcPr>
          <w:p>
            <w:pPr>
              <w:jc w:val="right"/>
              <w:spacing w:after="0" w:line="243" w:lineRule="exact"/>
              <w:rPr>
                <w:sz w:val="20"/>
                <w:szCs w:val="20"/>
                <w:color w:val="auto"/>
              </w:rPr>
            </w:pPr>
            <w:r>
              <w:rPr>
                <w:rFonts w:ascii="Arial" w:cs="Arial" w:eastAsia="Arial" w:hAnsi="Arial"/>
                <w:sz w:val="22"/>
                <w:szCs w:val="22"/>
                <w:color w:val="auto"/>
              </w:rPr>
              <w:t>Yet be</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4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900" w:type="dxa"/>
            <w:vAlign w:val="bottom"/>
            <w:gridSpan w:val="2"/>
          </w:tcPr>
          <w:p>
            <w:pPr>
              <w:jc w:val="right"/>
              <w:ind w:right="220"/>
              <w:spacing w:after="0" w:line="243" w:lineRule="exact"/>
              <w:rPr>
                <w:sz w:val="20"/>
                <w:szCs w:val="20"/>
                <w:color w:val="auto"/>
              </w:rPr>
            </w:pPr>
            <w:r>
              <w:rPr>
                <w:rFonts w:ascii="Arial" w:cs="Arial" w:eastAsia="Arial" w:hAnsi="Arial"/>
                <w:sz w:val="22"/>
                <w:szCs w:val="22"/>
                <w:color w:val="auto"/>
              </w:rPr>
              <w:t>Total</w:t>
            </w:r>
          </w:p>
        </w:tc>
        <w:tc>
          <w:tcPr>
            <w:tcW w:w="4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620" w:type="dxa"/>
            <w:vAlign w:val="bottom"/>
            <w:gridSpan w:val="2"/>
          </w:tcPr>
          <w:p>
            <w:pPr>
              <w:jc w:val="right"/>
              <w:ind w:right="240"/>
              <w:spacing w:after="0" w:line="243" w:lineRule="exact"/>
              <w:rPr>
                <w:sz w:val="20"/>
                <w:szCs w:val="20"/>
                <w:color w:val="auto"/>
              </w:rPr>
            </w:pPr>
            <w:r>
              <w:rPr>
                <w:rFonts w:ascii="Arial" w:cs="Arial" w:eastAsia="Arial" w:hAnsi="Arial"/>
                <w:sz w:val="22"/>
                <w:szCs w:val="22"/>
                <w:color w:val="auto"/>
              </w:rPr>
              <w:t>Publicly</w:t>
            </w:r>
          </w:p>
        </w:tc>
        <w:tc>
          <w:tcPr>
            <w:tcW w:w="1600" w:type="dxa"/>
            <w:vAlign w:val="bottom"/>
          </w:tcPr>
          <w:p>
            <w:pPr>
              <w:jc w:val="right"/>
              <w:spacing w:after="0" w:line="243" w:lineRule="exact"/>
              <w:rPr>
                <w:sz w:val="20"/>
                <w:szCs w:val="20"/>
                <w:color w:val="auto"/>
              </w:rPr>
            </w:pPr>
            <w:r>
              <w:rPr>
                <w:rFonts w:ascii="Arial" w:cs="Arial" w:eastAsia="Arial" w:hAnsi="Arial"/>
                <w:sz w:val="22"/>
                <w:szCs w:val="22"/>
                <w:color w:val="auto"/>
              </w:rPr>
              <w:t>Purchased</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4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900" w:type="dxa"/>
            <w:vAlign w:val="bottom"/>
            <w:gridSpan w:val="2"/>
          </w:tcPr>
          <w:p>
            <w:pPr>
              <w:jc w:val="right"/>
              <w:ind w:right="220"/>
              <w:spacing w:after="0" w:line="243" w:lineRule="exact"/>
              <w:rPr>
                <w:sz w:val="20"/>
                <w:szCs w:val="20"/>
                <w:color w:val="auto"/>
              </w:rPr>
            </w:pPr>
            <w:r>
              <w:rPr>
                <w:rFonts w:ascii="Arial" w:cs="Arial" w:eastAsia="Arial" w:hAnsi="Arial"/>
                <w:sz w:val="22"/>
                <w:szCs w:val="22"/>
                <w:color w:val="auto"/>
              </w:rPr>
              <w:t>Number</w:t>
            </w:r>
          </w:p>
        </w:tc>
        <w:tc>
          <w:tcPr>
            <w:tcW w:w="420" w:type="dxa"/>
            <w:vAlign w:val="bottom"/>
          </w:tcPr>
          <w:p>
            <w:pPr>
              <w:spacing w:after="0"/>
              <w:rPr>
                <w:sz w:val="21"/>
                <w:szCs w:val="21"/>
                <w:color w:val="auto"/>
              </w:rPr>
            </w:pPr>
          </w:p>
        </w:tc>
        <w:tc>
          <w:tcPr>
            <w:tcW w:w="1320" w:type="dxa"/>
            <w:vAlign w:val="bottom"/>
            <w:gridSpan w:val="3"/>
          </w:tcPr>
          <w:p>
            <w:pPr>
              <w:jc w:val="right"/>
              <w:ind w:right="240"/>
              <w:spacing w:after="0" w:line="243" w:lineRule="exact"/>
              <w:rPr>
                <w:sz w:val="20"/>
                <w:szCs w:val="20"/>
                <w:color w:val="auto"/>
              </w:rPr>
            </w:pPr>
            <w:r>
              <w:rPr>
                <w:rFonts w:ascii="Arial" w:cs="Arial" w:eastAsia="Arial" w:hAnsi="Arial"/>
                <w:sz w:val="22"/>
                <w:szCs w:val="22"/>
                <w:color w:val="auto"/>
              </w:rPr>
              <w:t>Average</w:t>
            </w:r>
          </w:p>
        </w:tc>
        <w:tc>
          <w:tcPr>
            <w:tcW w:w="1620" w:type="dxa"/>
            <w:vAlign w:val="bottom"/>
            <w:gridSpan w:val="2"/>
          </w:tcPr>
          <w:p>
            <w:pPr>
              <w:jc w:val="right"/>
              <w:ind w:right="240"/>
              <w:spacing w:after="0" w:line="243" w:lineRule="exact"/>
              <w:rPr>
                <w:sz w:val="20"/>
                <w:szCs w:val="20"/>
                <w:color w:val="auto"/>
              </w:rPr>
            </w:pPr>
            <w:r>
              <w:rPr>
                <w:rFonts w:ascii="Arial" w:cs="Arial" w:eastAsia="Arial" w:hAnsi="Arial"/>
                <w:sz w:val="22"/>
                <w:szCs w:val="22"/>
                <w:color w:val="auto"/>
              </w:rPr>
              <w:t>Announced</w:t>
            </w:r>
          </w:p>
        </w:tc>
        <w:tc>
          <w:tcPr>
            <w:tcW w:w="1600" w:type="dxa"/>
            <w:vAlign w:val="bottom"/>
          </w:tcPr>
          <w:p>
            <w:pPr>
              <w:jc w:val="right"/>
              <w:spacing w:after="0" w:line="243" w:lineRule="exact"/>
              <w:rPr>
                <w:sz w:val="20"/>
                <w:szCs w:val="20"/>
                <w:color w:val="auto"/>
              </w:rPr>
            </w:pPr>
            <w:r>
              <w:rPr>
                <w:rFonts w:ascii="Arial" w:cs="Arial" w:eastAsia="Arial" w:hAnsi="Arial"/>
                <w:sz w:val="22"/>
                <w:szCs w:val="22"/>
                <w:color w:val="auto"/>
              </w:rPr>
              <w:t>Under the</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4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900" w:type="dxa"/>
            <w:vAlign w:val="bottom"/>
            <w:gridSpan w:val="2"/>
          </w:tcPr>
          <w:p>
            <w:pPr>
              <w:jc w:val="right"/>
              <w:ind w:right="220"/>
              <w:spacing w:after="0" w:line="243" w:lineRule="exact"/>
              <w:rPr>
                <w:sz w:val="20"/>
                <w:szCs w:val="20"/>
                <w:color w:val="auto"/>
              </w:rPr>
            </w:pPr>
            <w:r>
              <w:rPr>
                <w:rFonts w:ascii="Arial" w:cs="Arial" w:eastAsia="Arial" w:hAnsi="Arial"/>
                <w:sz w:val="22"/>
                <w:szCs w:val="22"/>
                <w:color w:val="auto"/>
              </w:rPr>
              <w:t>of Shares</w:t>
            </w:r>
          </w:p>
        </w:tc>
        <w:tc>
          <w:tcPr>
            <w:tcW w:w="420" w:type="dxa"/>
            <w:vAlign w:val="bottom"/>
          </w:tcPr>
          <w:p>
            <w:pPr>
              <w:spacing w:after="0"/>
              <w:rPr>
                <w:sz w:val="21"/>
                <w:szCs w:val="21"/>
                <w:color w:val="auto"/>
              </w:rPr>
            </w:pPr>
          </w:p>
        </w:tc>
        <w:tc>
          <w:tcPr>
            <w:tcW w:w="1320" w:type="dxa"/>
            <w:vAlign w:val="bottom"/>
            <w:gridSpan w:val="3"/>
          </w:tcPr>
          <w:p>
            <w:pPr>
              <w:jc w:val="right"/>
              <w:ind w:right="240"/>
              <w:spacing w:after="0" w:line="243" w:lineRule="exact"/>
              <w:rPr>
                <w:sz w:val="20"/>
                <w:szCs w:val="20"/>
                <w:color w:val="auto"/>
              </w:rPr>
            </w:pPr>
            <w:r>
              <w:rPr>
                <w:rFonts w:ascii="Arial" w:cs="Arial" w:eastAsia="Arial" w:hAnsi="Arial"/>
                <w:sz w:val="22"/>
                <w:szCs w:val="22"/>
                <w:color w:val="auto"/>
              </w:rPr>
              <w:t>Price Paid</w:t>
            </w:r>
          </w:p>
        </w:tc>
        <w:tc>
          <w:tcPr>
            <w:tcW w:w="1620" w:type="dxa"/>
            <w:vAlign w:val="bottom"/>
            <w:gridSpan w:val="2"/>
          </w:tcPr>
          <w:p>
            <w:pPr>
              <w:jc w:val="right"/>
              <w:ind w:right="240"/>
              <w:spacing w:after="0" w:line="243" w:lineRule="exact"/>
              <w:rPr>
                <w:sz w:val="20"/>
                <w:szCs w:val="20"/>
                <w:color w:val="auto"/>
              </w:rPr>
            </w:pPr>
            <w:r>
              <w:rPr>
                <w:rFonts w:ascii="Arial" w:cs="Arial" w:eastAsia="Arial" w:hAnsi="Arial"/>
                <w:sz w:val="22"/>
                <w:szCs w:val="22"/>
                <w:color w:val="auto"/>
              </w:rPr>
              <w:t>Plans or</w:t>
            </w:r>
          </w:p>
        </w:tc>
        <w:tc>
          <w:tcPr>
            <w:tcW w:w="1600" w:type="dxa"/>
            <w:vAlign w:val="bottom"/>
          </w:tcPr>
          <w:p>
            <w:pPr>
              <w:jc w:val="right"/>
              <w:spacing w:after="0" w:line="243" w:lineRule="exact"/>
              <w:rPr>
                <w:sz w:val="20"/>
                <w:szCs w:val="20"/>
                <w:color w:val="auto"/>
              </w:rPr>
            </w:pPr>
            <w:r>
              <w:rPr>
                <w:rFonts w:ascii="Arial" w:cs="Arial" w:eastAsia="Arial" w:hAnsi="Arial"/>
                <w:sz w:val="22"/>
                <w:szCs w:val="22"/>
                <w:color w:val="auto"/>
              </w:rPr>
              <w:t>Plan or</w:t>
            </w:r>
          </w:p>
        </w:tc>
        <w:tc>
          <w:tcPr>
            <w:tcW w:w="0" w:type="dxa"/>
            <w:vAlign w:val="bottom"/>
          </w:tcPr>
          <w:p>
            <w:pPr>
              <w:spacing w:after="0"/>
              <w:rPr>
                <w:sz w:val="1"/>
                <w:szCs w:val="1"/>
                <w:color w:val="auto"/>
              </w:rPr>
            </w:pPr>
          </w:p>
        </w:tc>
      </w:tr>
      <w:tr>
        <w:trPr>
          <w:trHeight w:val="224"/>
        </w:trPr>
        <w:tc>
          <w:tcPr>
            <w:tcW w:w="3000" w:type="dxa"/>
            <w:vAlign w:val="bottom"/>
            <w:gridSpan w:val="3"/>
          </w:tcPr>
          <w:p>
            <w:pPr>
              <w:spacing w:after="0" w:line="224" w:lineRule="exact"/>
              <w:rPr>
                <w:sz w:val="20"/>
                <w:szCs w:val="20"/>
                <w:color w:val="auto"/>
              </w:rPr>
            </w:pPr>
            <w:r>
              <w:rPr>
                <w:rFonts w:ascii="Arial" w:cs="Arial" w:eastAsia="Arial" w:hAnsi="Arial"/>
                <w:sz w:val="22"/>
                <w:szCs w:val="22"/>
                <w:color w:val="auto"/>
              </w:rPr>
              <w:t>Period</w:t>
            </w:r>
          </w:p>
        </w:tc>
        <w:tc>
          <w:tcPr>
            <w:tcW w:w="20" w:type="dxa"/>
            <w:vAlign w:val="bottom"/>
          </w:tcPr>
          <w:p>
            <w:pPr>
              <w:spacing w:after="0"/>
              <w:rPr>
                <w:sz w:val="19"/>
                <w:szCs w:val="19"/>
                <w:color w:val="auto"/>
              </w:rPr>
            </w:pPr>
          </w:p>
        </w:tc>
        <w:tc>
          <w:tcPr>
            <w:tcW w:w="1900" w:type="dxa"/>
            <w:vAlign w:val="bottom"/>
            <w:gridSpan w:val="2"/>
          </w:tcPr>
          <w:p>
            <w:pPr>
              <w:jc w:val="right"/>
              <w:ind w:right="220"/>
              <w:spacing w:after="0" w:line="224" w:lineRule="exact"/>
              <w:rPr>
                <w:sz w:val="20"/>
                <w:szCs w:val="20"/>
                <w:color w:val="auto"/>
              </w:rPr>
            </w:pPr>
            <w:r>
              <w:rPr>
                <w:rFonts w:ascii="Arial" w:cs="Arial" w:eastAsia="Arial" w:hAnsi="Arial"/>
                <w:sz w:val="22"/>
                <w:szCs w:val="22"/>
                <w:color w:val="auto"/>
              </w:rPr>
              <w:t>Purchased (1)</w:t>
            </w:r>
          </w:p>
        </w:tc>
        <w:tc>
          <w:tcPr>
            <w:tcW w:w="420" w:type="dxa"/>
            <w:vAlign w:val="bottom"/>
          </w:tcPr>
          <w:p>
            <w:pPr>
              <w:spacing w:after="0"/>
              <w:rPr>
                <w:sz w:val="19"/>
                <w:szCs w:val="19"/>
                <w:color w:val="auto"/>
              </w:rPr>
            </w:pPr>
          </w:p>
        </w:tc>
        <w:tc>
          <w:tcPr>
            <w:tcW w:w="1320" w:type="dxa"/>
            <w:vAlign w:val="bottom"/>
            <w:gridSpan w:val="3"/>
          </w:tcPr>
          <w:p>
            <w:pPr>
              <w:jc w:val="right"/>
              <w:ind w:right="240"/>
              <w:spacing w:after="0" w:line="224" w:lineRule="exact"/>
              <w:rPr>
                <w:sz w:val="20"/>
                <w:szCs w:val="20"/>
                <w:color w:val="auto"/>
              </w:rPr>
            </w:pPr>
            <w:r>
              <w:rPr>
                <w:rFonts w:ascii="Arial" w:cs="Arial" w:eastAsia="Arial" w:hAnsi="Arial"/>
                <w:sz w:val="22"/>
                <w:szCs w:val="22"/>
                <w:color w:val="auto"/>
              </w:rPr>
              <w:t>per Share</w:t>
            </w:r>
          </w:p>
        </w:tc>
        <w:tc>
          <w:tcPr>
            <w:tcW w:w="1620" w:type="dxa"/>
            <w:vAlign w:val="bottom"/>
            <w:gridSpan w:val="2"/>
          </w:tcPr>
          <w:p>
            <w:pPr>
              <w:jc w:val="right"/>
              <w:ind w:right="240"/>
              <w:spacing w:after="0" w:line="224" w:lineRule="exact"/>
              <w:rPr>
                <w:sz w:val="20"/>
                <w:szCs w:val="20"/>
                <w:color w:val="auto"/>
              </w:rPr>
            </w:pPr>
            <w:r>
              <w:rPr>
                <w:rFonts w:ascii="Arial" w:cs="Arial" w:eastAsia="Arial" w:hAnsi="Arial"/>
                <w:sz w:val="22"/>
                <w:szCs w:val="22"/>
                <w:color w:val="auto"/>
              </w:rPr>
              <w:t>Programs</w:t>
            </w:r>
          </w:p>
        </w:tc>
        <w:tc>
          <w:tcPr>
            <w:tcW w:w="1600" w:type="dxa"/>
            <w:vAlign w:val="bottom"/>
          </w:tcPr>
          <w:p>
            <w:pPr>
              <w:jc w:val="right"/>
              <w:spacing w:after="0" w:line="224" w:lineRule="exact"/>
              <w:rPr>
                <w:sz w:val="20"/>
                <w:szCs w:val="20"/>
                <w:color w:val="auto"/>
              </w:rPr>
            </w:pPr>
            <w:r>
              <w:rPr>
                <w:rFonts w:ascii="Arial" w:cs="Arial" w:eastAsia="Arial" w:hAnsi="Arial"/>
                <w:sz w:val="22"/>
                <w:szCs w:val="22"/>
                <w:color w:val="auto"/>
              </w:rPr>
              <w:t>Programs</w:t>
            </w:r>
          </w:p>
        </w:tc>
        <w:tc>
          <w:tcPr>
            <w:tcW w:w="0" w:type="dxa"/>
            <w:vAlign w:val="bottom"/>
          </w:tcPr>
          <w:p>
            <w:pPr>
              <w:spacing w:after="0"/>
              <w:rPr>
                <w:sz w:val="1"/>
                <w:szCs w:val="1"/>
                <w:color w:val="auto"/>
              </w:rPr>
            </w:pPr>
          </w:p>
        </w:tc>
      </w:tr>
      <w:tr>
        <w:trPr>
          <w:trHeight w:val="21"/>
        </w:trPr>
        <w:tc>
          <w:tcPr>
            <w:tcW w:w="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CCEEFF"/>
            </w:tcBorders>
          </w:tcPr>
          <w:p>
            <w:pPr>
              <w:spacing w:after="0" w:line="20" w:lineRule="exact"/>
              <w:rPr>
                <w:sz w:val="1"/>
                <w:szCs w:val="1"/>
                <w:color w:val="auto"/>
              </w:rPr>
            </w:pPr>
          </w:p>
        </w:tc>
        <w:tc>
          <w:tcPr>
            <w:tcW w:w="242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980" w:type="dxa"/>
            <w:vAlign w:val="bottom"/>
            <w:gridSpan w:val="2"/>
            <w:shd w:val="clear" w:color="auto" w:fill="CCEEFF"/>
          </w:tcPr>
          <w:p>
            <w:pPr>
              <w:spacing w:after="0" w:line="237" w:lineRule="exact"/>
              <w:rPr>
                <w:sz w:val="20"/>
                <w:szCs w:val="20"/>
                <w:color w:val="auto"/>
              </w:rPr>
            </w:pPr>
            <w:r>
              <w:rPr>
                <w:rFonts w:ascii="Arial" w:cs="Arial" w:eastAsia="Arial" w:hAnsi="Arial"/>
                <w:sz w:val="22"/>
                <w:szCs w:val="22"/>
                <w:color w:val="auto"/>
              </w:rPr>
              <w:t>July 1-31, 2018</w:t>
            </w:r>
          </w:p>
        </w:tc>
        <w:tc>
          <w:tcPr>
            <w:tcW w:w="20" w:type="dxa"/>
            <w:vAlign w:val="bottom"/>
            <w:shd w:val="clear" w:color="auto" w:fill="CCEEFF"/>
          </w:tcPr>
          <w:p>
            <w:pPr>
              <w:spacing w:after="0"/>
              <w:rPr>
                <w:sz w:val="20"/>
                <w:szCs w:val="20"/>
                <w:color w:val="auto"/>
              </w:rPr>
            </w:pPr>
          </w:p>
        </w:tc>
        <w:tc>
          <w:tcPr>
            <w:tcW w:w="1680" w:type="dxa"/>
            <w:vAlign w:val="bottom"/>
            <w:shd w:val="clear" w:color="auto" w:fill="CCEEFF"/>
          </w:tcPr>
          <w:p>
            <w:pPr>
              <w:jc w:val="right"/>
              <w:spacing w:after="0" w:line="237" w:lineRule="exact"/>
              <w:rPr>
                <w:sz w:val="20"/>
                <w:szCs w:val="20"/>
                <w:color w:val="auto"/>
              </w:rPr>
            </w:pPr>
            <w:r>
              <w:rPr>
                <w:rFonts w:ascii="Arial" w:cs="Arial" w:eastAsia="Arial" w:hAnsi="Arial"/>
                <w:sz w:val="22"/>
                <w:szCs w:val="22"/>
                <w:color w:val="auto"/>
              </w:rPr>
              <w:t>8</w:t>
            </w:r>
          </w:p>
        </w:tc>
        <w:tc>
          <w:tcPr>
            <w:tcW w:w="220" w:type="dxa"/>
            <w:vAlign w:val="bottom"/>
            <w:shd w:val="clear" w:color="auto" w:fill="CCEEFF"/>
          </w:tcPr>
          <w:p>
            <w:pPr>
              <w:spacing w:after="0"/>
              <w:rPr>
                <w:sz w:val="20"/>
                <w:szCs w:val="20"/>
                <w:color w:val="auto"/>
              </w:rPr>
            </w:pPr>
          </w:p>
        </w:tc>
        <w:tc>
          <w:tcPr>
            <w:tcW w:w="420" w:type="dxa"/>
            <w:vAlign w:val="bottom"/>
            <w:shd w:val="clear" w:color="auto" w:fill="CCEEFF"/>
          </w:tcPr>
          <w:p>
            <w:pPr>
              <w:jc w:val="right"/>
              <w:ind w:right="72"/>
              <w:spacing w:after="0" w:line="237" w:lineRule="exact"/>
              <w:rPr>
                <w:sz w:val="20"/>
                <w:szCs w:val="20"/>
                <w:color w:val="auto"/>
              </w:rPr>
            </w:pPr>
            <w:r>
              <w:rPr>
                <w:rFonts w:ascii="Arial" w:cs="Arial" w:eastAsia="Arial" w:hAnsi="Arial"/>
                <w:sz w:val="22"/>
                <w:szCs w:val="22"/>
                <w:color w:val="auto"/>
              </w:rPr>
              <w:t>$</w:t>
            </w:r>
          </w:p>
        </w:tc>
        <w:tc>
          <w:tcPr>
            <w:tcW w:w="1080" w:type="dxa"/>
            <w:vAlign w:val="bottom"/>
            <w:gridSpan w:val="2"/>
            <w:shd w:val="clear" w:color="auto" w:fill="CCEEFF"/>
          </w:tcPr>
          <w:p>
            <w:pPr>
              <w:jc w:val="right"/>
              <w:ind w:right="60"/>
              <w:spacing w:after="0" w:line="237" w:lineRule="exact"/>
              <w:rPr>
                <w:sz w:val="20"/>
                <w:szCs w:val="20"/>
                <w:color w:val="auto"/>
              </w:rPr>
            </w:pPr>
            <w:r>
              <w:rPr>
                <w:rFonts w:ascii="Arial" w:cs="Arial" w:eastAsia="Arial" w:hAnsi="Arial"/>
                <w:sz w:val="22"/>
                <w:szCs w:val="22"/>
                <w:color w:val="auto"/>
              </w:rPr>
              <w:t>35.26</w:t>
            </w:r>
          </w:p>
        </w:tc>
        <w:tc>
          <w:tcPr>
            <w:tcW w:w="240" w:type="dxa"/>
            <w:vAlign w:val="bottom"/>
            <w:shd w:val="clear" w:color="auto" w:fill="CCEEFF"/>
          </w:tcPr>
          <w:p>
            <w:pPr>
              <w:spacing w:after="0"/>
              <w:rPr>
                <w:sz w:val="20"/>
                <w:szCs w:val="20"/>
                <w:color w:val="auto"/>
              </w:rPr>
            </w:pPr>
          </w:p>
        </w:tc>
        <w:tc>
          <w:tcPr>
            <w:tcW w:w="1380" w:type="dxa"/>
            <w:vAlign w:val="bottom"/>
            <w:shd w:val="clear" w:color="auto" w:fill="CCEEFF"/>
          </w:tcPr>
          <w:p>
            <w:pPr>
              <w:jc w:val="right"/>
              <w:spacing w:after="0" w:line="237" w:lineRule="exact"/>
              <w:rPr>
                <w:sz w:val="20"/>
                <w:szCs w:val="20"/>
                <w:color w:val="auto"/>
              </w:rPr>
            </w:pPr>
            <w:r>
              <w:rPr>
                <w:rFonts w:ascii="Arial" w:cs="Arial" w:eastAsia="Arial" w:hAnsi="Arial"/>
                <w:sz w:val="22"/>
                <w:szCs w:val="22"/>
                <w:color w:val="auto"/>
              </w:rPr>
              <w:t>-</w:t>
            </w:r>
          </w:p>
        </w:tc>
        <w:tc>
          <w:tcPr>
            <w:tcW w:w="240" w:type="dxa"/>
            <w:vAlign w:val="bottom"/>
            <w:shd w:val="clear" w:color="auto" w:fill="CCEEFF"/>
          </w:tcPr>
          <w:p>
            <w:pPr>
              <w:spacing w:after="0"/>
              <w:rPr>
                <w:sz w:val="20"/>
                <w:szCs w:val="20"/>
                <w:color w:val="auto"/>
              </w:rPr>
            </w:pPr>
          </w:p>
        </w:tc>
        <w:tc>
          <w:tcPr>
            <w:tcW w:w="1600" w:type="dxa"/>
            <w:vAlign w:val="bottom"/>
            <w:shd w:val="clear" w:color="auto" w:fill="CCEEFF"/>
          </w:tcPr>
          <w:p>
            <w:pPr>
              <w:jc w:val="right"/>
              <w:spacing w:after="0" w:line="237" w:lineRule="exact"/>
              <w:rPr>
                <w:sz w:val="20"/>
                <w:szCs w:val="20"/>
                <w:color w:val="auto"/>
              </w:rPr>
            </w:pPr>
            <w:r>
              <w:rPr>
                <w:rFonts w:ascii="Arial" w:cs="Arial" w:eastAsia="Arial" w:hAnsi="Arial"/>
                <w:sz w:val="22"/>
                <w:szCs w:val="22"/>
                <w:color w:val="auto"/>
              </w:rPr>
              <w:t>-</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980" w:type="dxa"/>
            <w:vAlign w:val="bottom"/>
            <w:gridSpan w:val="2"/>
          </w:tcPr>
          <w:p>
            <w:pPr>
              <w:spacing w:after="0" w:line="243" w:lineRule="exact"/>
              <w:rPr>
                <w:sz w:val="20"/>
                <w:szCs w:val="20"/>
                <w:color w:val="auto"/>
              </w:rPr>
            </w:pPr>
            <w:r>
              <w:rPr>
                <w:rFonts w:ascii="Arial" w:cs="Arial" w:eastAsia="Arial" w:hAnsi="Arial"/>
                <w:sz w:val="22"/>
                <w:szCs w:val="22"/>
                <w:color w:val="auto"/>
              </w:rPr>
              <w:t>August 1-31, 2018</w:t>
            </w:r>
          </w:p>
        </w:tc>
        <w:tc>
          <w:tcPr>
            <w:tcW w:w="170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17</w:t>
            </w:r>
          </w:p>
        </w:tc>
        <w:tc>
          <w:tcPr>
            <w:tcW w:w="220" w:type="dxa"/>
            <w:vAlign w:val="bottom"/>
          </w:tcPr>
          <w:p>
            <w:pPr>
              <w:spacing w:after="0"/>
              <w:rPr>
                <w:sz w:val="21"/>
                <w:szCs w:val="21"/>
                <w:color w:val="auto"/>
              </w:rPr>
            </w:pPr>
          </w:p>
        </w:tc>
        <w:tc>
          <w:tcPr>
            <w:tcW w:w="420" w:type="dxa"/>
            <w:vAlign w:val="bottom"/>
          </w:tcPr>
          <w:p>
            <w:pPr>
              <w:jc w:val="right"/>
              <w:ind w:right="72"/>
              <w:spacing w:after="0" w:line="243" w:lineRule="exact"/>
              <w:rPr>
                <w:sz w:val="20"/>
                <w:szCs w:val="20"/>
                <w:color w:val="auto"/>
              </w:rPr>
            </w:pPr>
            <w:r>
              <w:rPr>
                <w:rFonts w:ascii="Arial" w:cs="Arial" w:eastAsia="Arial" w:hAnsi="Arial"/>
                <w:sz w:val="22"/>
                <w:szCs w:val="22"/>
                <w:color w:val="auto"/>
              </w:rPr>
              <w:t>$</w:t>
            </w:r>
          </w:p>
        </w:tc>
        <w:tc>
          <w:tcPr>
            <w:tcW w:w="1080" w:type="dxa"/>
            <w:vAlign w:val="bottom"/>
            <w:gridSpan w:val="2"/>
          </w:tcPr>
          <w:p>
            <w:pPr>
              <w:jc w:val="right"/>
              <w:ind w:right="60"/>
              <w:spacing w:after="0" w:line="243" w:lineRule="exact"/>
              <w:rPr>
                <w:sz w:val="20"/>
                <w:szCs w:val="20"/>
                <w:color w:val="auto"/>
              </w:rPr>
            </w:pPr>
            <w:r>
              <w:rPr>
                <w:rFonts w:ascii="Arial" w:cs="Arial" w:eastAsia="Arial" w:hAnsi="Arial"/>
                <w:sz w:val="22"/>
                <w:szCs w:val="22"/>
                <w:color w:val="auto"/>
              </w:rPr>
              <w:t>36.48</w:t>
            </w:r>
          </w:p>
        </w:tc>
        <w:tc>
          <w:tcPr>
            <w:tcW w:w="240" w:type="dxa"/>
            <w:vAlign w:val="bottom"/>
          </w:tcPr>
          <w:p>
            <w:pPr>
              <w:spacing w:after="0"/>
              <w:rPr>
                <w:sz w:val="21"/>
                <w:szCs w:val="21"/>
                <w:color w:val="auto"/>
              </w:rPr>
            </w:pPr>
          </w:p>
        </w:tc>
        <w:tc>
          <w:tcPr>
            <w:tcW w:w="1380" w:type="dxa"/>
            <w:vAlign w:val="bottom"/>
          </w:tcPr>
          <w:p>
            <w:pPr>
              <w:jc w:val="right"/>
              <w:spacing w:after="0" w:line="243" w:lineRule="exact"/>
              <w:rPr>
                <w:sz w:val="20"/>
                <w:szCs w:val="20"/>
                <w:color w:val="auto"/>
              </w:rPr>
            </w:pPr>
            <w:r>
              <w:rPr>
                <w:rFonts w:ascii="Arial" w:cs="Arial" w:eastAsia="Arial" w:hAnsi="Arial"/>
                <w:sz w:val="22"/>
                <w:szCs w:val="22"/>
                <w:color w:val="auto"/>
              </w:rPr>
              <w:t>-</w:t>
            </w:r>
          </w:p>
        </w:tc>
        <w:tc>
          <w:tcPr>
            <w:tcW w:w="240" w:type="dxa"/>
            <w:vAlign w:val="bottom"/>
          </w:tcPr>
          <w:p>
            <w:pPr>
              <w:spacing w:after="0"/>
              <w:rPr>
                <w:sz w:val="21"/>
                <w:szCs w:val="21"/>
                <w:color w:val="auto"/>
              </w:rPr>
            </w:pPr>
          </w:p>
        </w:tc>
        <w:tc>
          <w:tcPr>
            <w:tcW w:w="1600" w:type="dxa"/>
            <w:vAlign w:val="bottom"/>
          </w:tcPr>
          <w:p>
            <w:pPr>
              <w:jc w:val="right"/>
              <w:spacing w:after="0" w:line="243" w:lineRule="exact"/>
              <w:rPr>
                <w:sz w:val="20"/>
                <w:szCs w:val="20"/>
                <w:color w:val="auto"/>
              </w:rPr>
            </w:pPr>
            <w:r>
              <w:rPr>
                <w:rFonts w:ascii="Arial" w:cs="Arial" w:eastAsia="Arial" w:hAnsi="Arial"/>
                <w:sz w:val="22"/>
                <w:szCs w:val="22"/>
                <w:color w:val="auto"/>
              </w:rPr>
              <w:t>-</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980" w:type="dxa"/>
            <w:vAlign w:val="bottom"/>
            <w:gridSpan w:val="2"/>
            <w:shd w:val="clear" w:color="auto" w:fill="CCEEFF"/>
          </w:tcPr>
          <w:p>
            <w:pPr>
              <w:spacing w:after="0" w:line="243" w:lineRule="exact"/>
              <w:rPr>
                <w:sz w:val="20"/>
                <w:szCs w:val="20"/>
                <w:color w:val="auto"/>
              </w:rPr>
            </w:pPr>
            <w:r>
              <w:rPr>
                <w:rFonts w:ascii="Arial" w:cs="Arial" w:eastAsia="Arial" w:hAnsi="Arial"/>
                <w:sz w:val="22"/>
                <w:szCs w:val="22"/>
                <w:color w:val="auto"/>
              </w:rPr>
              <w:t>September 1-30, 2018</w:t>
            </w:r>
          </w:p>
        </w:tc>
        <w:tc>
          <w:tcPr>
            <w:tcW w:w="1700" w:type="dxa"/>
            <w:vAlign w:val="bottom"/>
            <w:gridSpan w:val="2"/>
            <w:shd w:val="clear" w:color="auto" w:fill="CCEEFF"/>
          </w:tcPr>
          <w:p>
            <w:pPr>
              <w:jc w:val="right"/>
              <w:spacing w:after="0" w:line="243" w:lineRule="exact"/>
              <w:rPr>
                <w:sz w:val="20"/>
                <w:szCs w:val="20"/>
                <w:color w:val="auto"/>
              </w:rPr>
            </w:pPr>
            <w:r>
              <w:rPr>
                <w:rFonts w:ascii="Arial" w:cs="Arial" w:eastAsia="Arial" w:hAnsi="Arial"/>
                <w:sz w:val="22"/>
                <w:szCs w:val="22"/>
                <w:color w:val="auto"/>
              </w:rPr>
              <w:t>-</w:t>
            </w:r>
          </w:p>
        </w:tc>
        <w:tc>
          <w:tcPr>
            <w:tcW w:w="220" w:type="dxa"/>
            <w:vAlign w:val="bottom"/>
            <w:shd w:val="clear" w:color="auto" w:fill="CCEEFF"/>
          </w:tcPr>
          <w:p>
            <w:pPr>
              <w:spacing w:after="0"/>
              <w:rPr>
                <w:sz w:val="21"/>
                <w:szCs w:val="21"/>
                <w:color w:val="auto"/>
              </w:rPr>
            </w:pPr>
          </w:p>
        </w:tc>
        <w:tc>
          <w:tcPr>
            <w:tcW w:w="420" w:type="dxa"/>
            <w:vAlign w:val="bottom"/>
            <w:shd w:val="clear" w:color="auto" w:fill="CCEEFF"/>
          </w:tcPr>
          <w:p>
            <w:pPr>
              <w:jc w:val="right"/>
              <w:ind w:right="72"/>
              <w:spacing w:after="0" w:line="243" w:lineRule="exact"/>
              <w:rPr>
                <w:sz w:val="20"/>
                <w:szCs w:val="20"/>
                <w:color w:val="auto"/>
              </w:rPr>
            </w:pPr>
            <w:r>
              <w:rPr>
                <w:rFonts w:ascii="Arial" w:cs="Arial" w:eastAsia="Arial" w:hAnsi="Arial"/>
                <w:sz w:val="22"/>
                <w:szCs w:val="22"/>
                <w:color w:val="auto"/>
              </w:rPr>
              <w:t>$</w:t>
            </w:r>
          </w:p>
        </w:tc>
        <w:tc>
          <w:tcPr>
            <w:tcW w:w="1080" w:type="dxa"/>
            <w:vAlign w:val="bottom"/>
            <w:gridSpan w:val="2"/>
            <w:shd w:val="clear" w:color="auto" w:fill="CCEEFF"/>
          </w:tcPr>
          <w:p>
            <w:pPr>
              <w:jc w:val="right"/>
              <w:ind w:right="60"/>
              <w:spacing w:after="0" w:line="243" w:lineRule="exact"/>
              <w:rPr>
                <w:sz w:val="20"/>
                <w:szCs w:val="20"/>
                <w:color w:val="auto"/>
              </w:rPr>
            </w:pPr>
            <w:r>
              <w:rPr>
                <w:rFonts w:ascii="Arial" w:cs="Arial" w:eastAsia="Arial" w:hAnsi="Arial"/>
                <w:sz w:val="22"/>
                <w:szCs w:val="22"/>
                <w:color w:val="auto"/>
              </w:rPr>
              <w:t>-</w:t>
            </w:r>
          </w:p>
        </w:tc>
        <w:tc>
          <w:tcPr>
            <w:tcW w:w="240" w:type="dxa"/>
            <w:vAlign w:val="bottom"/>
            <w:shd w:val="clear" w:color="auto" w:fill="CCEEFF"/>
          </w:tcPr>
          <w:p>
            <w:pPr>
              <w:spacing w:after="0"/>
              <w:rPr>
                <w:sz w:val="21"/>
                <w:szCs w:val="21"/>
                <w:color w:val="auto"/>
              </w:rPr>
            </w:pPr>
          </w:p>
        </w:tc>
        <w:tc>
          <w:tcPr>
            <w:tcW w:w="1380" w:type="dxa"/>
            <w:vAlign w:val="bottom"/>
            <w:shd w:val="clear" w:color="auto" w:fill="CCEEFF"/>
          </w:tcPr>
          <w:p>
            <w:pPr>
              <w:jc w:val="right"/>
              <w:spacing w:after="0" w:line="243" w:lineRule="exact"/>
              <w:rPr>
                <w:sz w:val="20"/>
                <w:szCs w:val="20"/>
                <w:color w:val="auto"/>
              </w:rPr>
            </w:pPr>
            <w:r>
              <w:rPr>
                <w:rFonts w:ascii="Arial" w:cs="Arial" w:eastAsia="Arial" w:hAnsi="Arial"/>
                <w:sz w:val="22"/>
                <w:szCs w:val="22"/>
                <w:color w:val="auto"/>
              </w:rPr>
              <w:t>-</w:t>
            </w:r>
          </w:p>
        </w:tc>
        <w:tc>
          <w:tcPr>
            <w:tcW w:w="240" w:type="dxa"/>
            <w:vAlign w:val="bottom"/>
            <w:shd w:val="clear" w:color="auto" w:fill="CCEEFF"/>
          </w:tcPr>
          <w:p>
            <w:pPr>
              <w:spacing w:after="0"/>
              <w:rPr>
                <w:sz w:val="21"/>
                <w:szCs w:val="21"/>
                <w:color w:val="auto"/>
              </w:rPr>
            </w:pPr>
          </w:p>
        </w:tc>
        <w:tc>
          <w:tcPr>
            <w:tcW w:w="1600" w:type="dxa"/>
            <w:vAlign w:val="bottom"/>
            <w:shd w:val="clear" w:color="auto" w:fill="CCEEFF"/>
          </w:tcPr>
          <w:p>
            <w:pPr>
              <w:jc w:val="right"/>
              <w:spacing w:after="0" w:line="243" w:lineRule="exact"/>
              <w:rPr>
                <w:sz w:val="20"/>
                <w:szCs w:val="20"/>
                <w:color w:val="auto"/>
              </w:rPr>
            </w:pPr>
            <w:r>
              <w:rPr>
                <w:rFonts w:ascii="Arial" w:cs="Arial" w:eastAsia="Arial" w:hAnsi="Arial"/>
                <w:sz w:val="22"/>
                <w:szCs w:val="22"/>
                <w:color w:val="auto"/>
              </w:rPr>
              <w:t>-</w:t>
            </w:r>
          </w:p>
        </w:tc>
        <w:tc>
          <w:tcPr>
            <w:tcW w:w="0" w:type="dxa"/>
            <w:vAlign w:val="bottom"/>
          </w:tcPr>
          <w:p>
            <w:pPr>
              <w:spacing w:after="0"/>
              <w:rPr>
                <w:sz w:val="1"/>
                <w:szCs w:val="1"/>
                <w:color w:val="auto"/>
              </w:rPr>
            </w:pPr>
          </w:p>
        </w:tc>
      </w:tr>
      <w:tr>
        <w:trPr>
          <w:trHeight w:val="244"/>
        </w:trPr>
        <w:tc>
          <w:tcPr>
            <w:tcW w:w="3000" w:type="dxa"/>
            <w:vAlign w:val="bottom"/>
            <w:gridSpan w:val="3"/>
          </w:tcPr>
          <w:p>
            <w:pPr>
              <w:spacing w:after="0" w:line="237" w:lineRule="exact"/>
              <w:rPr>
                <w:sz w:val="20"/>
                <w:szCs w:val="20"/>
                <w:color w:val="auto"/>
              </w:rPr>
            </w:pPr>
            <w:r>
              <w:rPr>
                <w:rFonts w:ascii="Arial" w:cs="Arial" w:eastAsia="Arial" w:hAnsi="Arial"/>
                <w:sz w:val="22"/>
                <w:szCs w:val="22"/>
                <w:color w:val="auto"/>
              </w:rPr>
              <w:t>Total</w:t>
            </w:r>
          </w:p>
        </w:tc>
        <w:tc>
          <w:tcPr>
            <w:tcW w:w="20" w:type="dxa"/>
            <w:vAlign w:val="bottom"/>
          </w:tcPr>
          <w:p>
            <w:pPr>
              <w:spacing w:after="0"/>
              <w:rPr>
                <w:sz w:val="21"/>
                <w:szCs w:val="21"/>
                <w:color w:val="auto"/>
              </w:rPr>
            </w:pPr>
          </w:p>
        </w:tc>
        <w:tc>
          <w:tcPr>
            <w:tcW w:w="1680" w:type="dxa"/>
            <w:vAlign w:val="bottom"/>
            <w:tcBorders>
              <w:top w:val="single" w:sz="8" w:color="auto"/>
              <w:bottom w:val="single" w:sz="8" w:color="auto"/>
            </w:tcBorders>
          </w:tcPr>
          <w:p>
            <w:pPr>
              <w:jc w:val="right"/>
              <w:spacing w:after="0" w:line="237" w:lineRule="exact"/>
              <w:rPr>
                <w:sz w:val="20"/>
                <w:szCs w:val="20"/>
                <w:color w:val="auto"/>
              </w:rPr>
            </w:pPr>
            <w:r>
              <w:rPr>
                <w:rFonts w:ascii="Arial" w:cs="Arial" w:eastAsia="Arial" w:hAnsi="Arial"/>
                <w:sz w:val="22"/>
                <w:szCs w:val="22"/>
                <w:color w:val="auto"/>
              </w:rPr>
              <w:t>25</w:t>
            </w:r>
          </w:p>
        </w:tc>
        <w:tc>
          <w:tcPr>
            <w:tcW w:w="220" w:type="dxa"/>
            <w:vAlign w:val="bottom"/>
          </w:tcPr>
          <w:p>
            <w:pPr>
              <w:spacing w:after="0"/>
              <w:rPr>
                <w:sz w:val="21"/>
                <w:szCs w:val="21"/>
                <w:color w:val="auto"/>
              </w:rPr>
            </w:pPr>
          </w:p>
        </w:tc>
        <w:tc>
          <w:tcPr>
            <w:tcW w:w="420" w:type="dxa"/>
            <w:vAlign w:val="bottom"/>
            <w:tcBorders>
              <w:top w:val="single" w:sz="8" w:color="auto"/>
              <w:bottom w:val="single" w:sz="8" w:color="auto"/>
            </w:tcBorders>
          </w:tcPr>
          <w:p>
            <w:pPr>
              <w:jc w:val="right"/>
              <w:ind w:right="72"/>
              <w:spacing w:after="0" w:line="237" w:lineRule="exact"/>
              <w:rPr>
                <w:sz w:val="20"/>
                <w:szCs w:val="20"/>
                <w:color w:val="auto"/>
              </w:rPr>
            </w:pPr>
            <w:r>
              <w:rPr>
                <w:rFonts w:ascii="Arial" w:cs="Arial" w:eastAsia="Arial" w:hAnsi="Arial"/>
                <w:sz w:val="22"/>
                <w:szCs w:val="22"/>
                <w:color w:val="auto"/>
              </w:rPr>
              <w:t>$</w:t>
            </w:r>
          </w:p>
        </w:tc>
        <w:tc>
          <w:tcPr>
            <w:tcW w:w="1080" w:type="dxa"/>
            <w:vAlign w:val="bottom"/>
            <w:tcBorders>
              <w:top w:val="single" w:sz="8" w:color="auto"/>
              <w:bottom w:val="single" w:sz="8" w:color="auto"/>
            </w:tcBorders>
            <w:gridSpan w:val="2"/>
          </w:tcPr>
          <w:p>
            <w:pPr>
              <w:jc w:val="right"/>
              <w:ind w:right="60"/>
              <w:spacing w:after="0" w:line="237" w:lineRule="exact"/>
              <w:rPr>
                <w:sz w:val="20"/>
                <w:szCs w:val="20"/>
                <w:color w:val="auto"/>
              </w:rPr>
            </w:pPr>
            <w:r>
              <w:rPr>
                <w:rFonts w:ascii="Arial" w:cs="Arial" w:eastAsia="Arial" w:hAnsi="Arial"/>
                <w:sz w:val="22"/>
                <w:szCs w:val="22"/>
                <w:color w:val="auto"/>
              </w:rPr>
              <w:t>36.09</w:t>
            </w:r>
          </w:p>
        </w:tc>
        <w:tc>
          <w:tcPr>
            <w:tcW w:w="240" w:type="dxa"/>
            <w:vAlign w:val="bottom"/>
          </w:tcPr>
          <w:p>
            <w:pPr>
              <w:spacing w:after="0"/>
              <w:rPr>
                <w:sz w:val="21"/>
                <w:szCs w:val="21"/>
                <w:color w:val="auto"/>
              </w:rPr>
            </w:pPr>
          </w:p>
        </w:tc>
        <w:tc>
          <w:tcPr>
            <w:tcW w:w="1380" w:type="dxa"/>
            <w:vAlign w:val="bottom"/>
            <w:tcBorders>
              <w:top w:val="single" w:sz="8" w:color="auto"/>
              <w:bottom w:val="single" w:sz="8" w:color="auto"/>
            </w:tcBorders>
          </w:tcPr>
          <w:p>
            <w:pPr>
              <w:jc w:val="right"/>
              <w:spacing w:after="0" w:line="237" w:lineRule="exact"/>
              <w:rPr>
                <w:sz w:val="20"/>
                <w:szCs w:val="20"/>
                <w:color w:val="auto"/>
              </w:rPr>
            </w:pPr>
            <w:r>
              <w:rPr>
                <w:rFonts w:ascii="Arial" w:cs="Arial" w:eastAsia="Arial" w:hAnsi="Arial"/>
                <w:sz w:val="22"/>
                <w:szCs w:val="22"/>
                <w:color w:val="auto"/>
              </w:rPr>
              <w:t>-</w:t>
            </w:r>
          </w:p>
        </w:tc>
        <w:tc>
          <w:tcPr>
            <w:tcW w:w="240" w:type="dxa"/>
            <w:vAlign w:val="bottom"/>
          </w:tcPr>
          <w:p>
            <w:pPr>
              <w:spacing w:after="0"/>
              <w:rPr>
                <w:sz w:val="21"/>
                <w:szCs w:val="21"/>
                <w:color w:val="auto"/>
              </w:rPr>
            </w:pPr>
          </w:p>
        </w:tc>
        <w:tc>
          <w:tcPr>
            <w:tcW w:w="1600" w:type="dxa"/>
            <w:vAlign w:val="bottom"/>
            <w:tcBorders>
              <w:top w:val="single" w:sz="8" w:color="auto"/>
              <w:bottom w:val="single" w:sz="8" w:color="auto"/>
            </w:tcBorders>
          </w:tcPr>
          <w:p>
            <w:pPr>
              <w:jc w:val="right"/>
              <w:spacing w:after="0" w:line="237" w:lineRule="exact"/>
              <w:rPr>
                <w:sz w:val="20"/>
                <w:szCs w:val="20"/>
                <w:color w:val="auto"/>
              </w:rPr>
            </w:pPr>
            <w:r>
              <w:rPr>
                <w:rFonts w:ascii="Arial" w:cs="Arial" w:eastAsia="Arial" w:hAnsi="Arial"/>
                <w:sz w:val="22"/>
                <w:szCs w:val="22"/>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65" w:lineRule="exact"/>
        <w:rPr>
          <w:sz w:val="20"/>
          <w:szCs w:val="20"/>
          <w:color w:val="auto"/>
        </w:rPr>
      </w:pPr>
    </w:p>
    <w:p>
      <w:pPr>
        <w:ind w:right="300" w:firstLine="8"/>
        <w:spacing w:after="0" w:line="251" w:lineRule="auto"/>
        <w:tabs>
          <w:tab w:leader="none" w:pos="306" w:val="left"/>
        </w:tabs>
        <w:numPr>
          <w:ilvl w:val="0"/>
          <w:numId w:val="13"/>
        </w:numPr>
        <w:rPr>
          <w:rFonts w:ascii="Arial" w:cs="Arial" w:eastAsia="Arial" w:hAnsi="Arial"/>
          <w:sz w:val="22"/>
          <w:szCs w:val="22"/>
          <w:color w:val="auto"/>
        </w:rPr>
      </w:pPr>
      <w:r>
        <w:rPr>
          <w:rFonts w:ascii="Arial" w:cs="Arial" w:eastAsia="Arial" w:hAnsi="Arial"/>
          <w:sz w:val="22"/>
          <w:szCs w:val="22"/>
          <w:color w:val="auto"/>
        </w:rPr>
        <w:t>These amounts include 25 shares we acquired from employees associated with the withholding of shares to pay certain withholding taxes upon the vesting of stock-based compensation.</w:t>
      </w:r>
    </w:p>
    <w:p>
      <w:pPr>
        <w:spacing w:after="0" w:line="254" w:lineRule="exact"/>
        <w:rPr>
          <w:sz w:val="20"/>
          <w:szCs w:val="20"/>
          <w:color w:val="auto"/>
        </w:rPr>
      </w:pPr>
    </w:p>
    <w:p>
      <w:pPr>
        <w:spacing w:after="0"/>
        <w:rPr>
          <w:sz w:val="20"/>
          <w:szCs w:val="20"/>
          <w:color w:val="auto"/>
        </w:rPr>
      </w:pPr>
      <w:r>
        <w:rPr>
          <w:rFonts w:ascii="Arial" w:cs="Arial" w:eastAsia="Arial" w:hAnsi="Arial"/>
          <w:sz w:val="22"/>
          <w:szCs w:val="22"/>
          <w:color w:val="auto"/>
        </w:rPr>
        <w:t>Item 6 – Exhibits</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tbl>
      <w:tblPr>
        <w:tblLayout w:type="fixed"/>
        <w:tblInd w:w="20" w:type="dxa"/>
        <w:tblCellMar>
          <w:top w:w="0" w:type="dxa"/>
          <w:left w:w="0" w:type="dxa"/>
          <w:bottom w:w="0" w:type="dxa"/>
          <w:right w:w="0" w:type="dxa"/>
        </w:tblCellMar>
      </w:tblPr>
      <w:tr>
        <w:trPr>
          <w:trHeight w:val="271"/>
        </w:trPr>
        <w:tc>
          <w:tcPr>
            <w:tcW w:w="1860" w:type="dxa"/>
            <w:vAlign w:val="bottom"/>
            <w:gridSpan w:val="2"/>
          </w:tcPr>
          <w:p>
            <w:pPr>
              <w:ind w:left="100"/>
              <w:spacing w:after="0"/>
              <w:rPr>
                <w:sz w:val="20"/>
                <w:szCs w:val="20"/>
                <w:color w:val="auto"/>
              </w:rPr>
            </w:pPr>
            <w:r>
              <w:rPr>
                <w:rFonts w:ascii="Arial" w:cs="Arial" w:eastAsia="Arial" w:hAnsi="Arial"/>
                <w:sz w:val="22"/>
                <w:szCs w:val="22"/>
                <w:b w:val="1"/>
                <w:bCs w:val="1"/>
                <w:color w:val="auto"/>
              </w:rPr>
              <w:t>Exhibit No.</w:t>
            </w:r>
          </w:p>
        </w:tc>
        <w:tc>
          <w:tcPr>
            <w:tcW w:w="100" w:type="dxa"/>
            <w:vAlign w:val="bottom"/>
          </w:tcPr>
          <w:p>
            <w:pPr>
              <w:spacing w:after="0"/>
              <w:rPr>
                <w:sz w:val="23"/>
                <w:szCs w:val="23"/>
                <w:color w:val="auto"/>
              </w:rPr>
            </w:pPr>
          </w:p>
        </w:tc>
        <w:tc>
          <w:tcPr>
            <w:tcW w:w="7900" w:type="dxa"/>
            <w:vAlign w:val="bottom"/>
            <w:gridSpan w:val="15"/>
          </w:tcPr>
          <w:p>
            <w:pPr>
              <w:ind w:left="60"/>
              <w:spacing w:after="0"/>
              <w:rPr>
                <w:sz w:val="20"/>
                <w:szCs w:val="20"/>
                <w:color w:val="auto"/>
              </w:rPr>
            </w:pPr>
            <w:r>
              <w:rPr>
                <w:rFonts w:ascii="Arial" w:cs="Arial" w:eastAsia="Arial" w:hAnsi="Arial"/>
                <w:sz w:val="22"/>
                <w:szCs w:val="22"/>
                <w:b w:val="1"/>
                <w:bCs w:val="1"/>
                <w:color w:val="auto"/>
              </w:rPr>
              <w:t>Description</w:t>
            </w:r>
          </w:p>
        </w:tc>
        <w:tc>
          <w:tcPr>
            <w:tcW w:w="0" w:type="dxa"/>
            <w:vAlign w:val="bottom"/>
          </w:tcPr>
          <w:p>
            <w:pPr>
              <w:spacing w:after="0"/>
              <w:rPr>
                <w:sz w:val="1"/>
                <w:szCs w:val="1"/>
                <w:color w:val="auto"/>
              </w:rPr>
            </w:pPr>
          </w:p>
        </w:tc>
      </w:tr>
      <w:tr>
        <w:trPr>
          <w:trHeight w:val="196"/>
        </w:trPr>
        <w:tc>
          <w:tcPr>
            <w:tcW w:w="1480" w:type="dxa"/>
            <w:vAlign w:val="bottom"/>
            <w:tcBorders>
              <w:top w:val="single" w:sz="8" w:color="auto"/>
            </w:tcBorders>
          </w:tcPr>
          <w:p>
            <w:pPr>
              <w:ind w:left="100"/>
              <w:spacing w:after="0" w:line="197" w:lineRule="exact"/>
              <w:rPr>
                <w:sz w:val="20"/>
                <w:szCs w:val="20"/>
                <w:color w:val="auto"/>
              </w:rPr>
            </w:pPr>
            <w:r>
              <w:rPr>
                <w:rFonts w:ascii="Arial" w:cs="Arial" w:eastAsia="Arial" w:hAnsi="Arial"/>
                <w:sz w:val="22"/>
                <w:szCs w:val="22"/>
                <w:color w:val="auto"/>
              </w:rPr>
              <w:t>2.1</w:t>
            </w:r>
          </w:p>
        </w:tc>
        <w:tc>
          <w:tcPr>
            <w:tcW w:w="38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900" w:type="dxa"/>
            <w:vAlign w:val="bottom"/>
            <w:tcBorders>
              <w:top w:val="single" w:sz="8" w:color="auto"/>
            </w:tcBorders>
            <w:gridSpan w:val="15"/>
          </w:tcPr>
          <w:p>
            <w:pPr>
              <w:spacing w:after="0" w:line="197" w:lineRule="exact"/>
              <w:rPr>
                <w:rFonts w:ascii="Arial" w:cs="Arial" w:eastAsia="Arial" w:hAnsi="Arial"/>
                <w:sz w:val="22"/>
                <w:szCs w:val="22"/>
                <w:color w:val="0000EE"/>
                <w:w w:val="97"/>
              </w:rPr>
            </w:pPr>
            <w:hyperlink r:id="rId52">
              <w:r>
                <w:rPr>
                  <w:rFonts w:ascii="Arial" w:cs="Arial" w:eastAsia="Arial" w:hAnsi="Arial"/>
                  <w:sz w:val="22"/>
                  <w:szCs w:val="22"/>
                  <w:color w:val="0000EE"/>
                  <w:w w:val="97"/>
                </w:rPr>
                <w:t>Purchase Agreement, dated October 22, 2018, by and between LDC Parent LLC, a</w:t>
              </w:r>
            </w:hyperlink>
          </w:p>
        </w:tc>
        <w:tc>
          <w:tcPr>
            <w:tcW w:w="0" w:type="dxa"/>
            <w:vAlign w:val="bottom"/>
          </w:tcPr>
          <w:p>
            <w:pPr>
              <w:spacing w:after="0"/>
              <w:rPr>
                <w:sz w:val="1"/>
                <w:szCs w:val="1"/>
                <w:color w:val="auto"/>
              </w:rPr>
            </w:pPr>
          </w:p>
        </w:tc>
      </w:tr>
      <w:tr>
        <w:trPr>
          <w:trHeight w:val="20"/>
        </w:trPr>
        <w:tc>
          <w:tcPr>
            <w:tcW w:w="14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2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400" w:type="dxa"/>
            <w:vAlign w:val="bottom"/>
            <w:shd w:val="clear" w:color="auto" w:fill="0000EE"/>
          </w:tcPr>
          <w:p>
            <w:pPr>
              <w:spacing w:after="0" w:line="20" w:lineRule="exact"/>
              <w:rPr>
                <w:sz w:val="1"/>
                <w:szCs w:val="1"/>
                <w:color w:val="auto"/>
              </w:rPr>
            </w:pPr>
          </w:p>
        </w:tc>
        <w:tc>
          <w:tcPr>
            <w:tcW w:w="18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4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900" w:type="dxa"/>
            <w:vAlign w:val="bottom"/>
            <w:gridSpan w:val="15"/>
          </w:tcPr>
          <w:p>
            <w:pPr>
              <w:spacing w:after="0" w:line="223" w:lineRule="exact"/>
              <w:rPr>
                <w:rFonts w:ascii="Arial" w:cs="Arial" w:eastAsia="Arial" w:hAnsi="Arial"/>
                <w:sz w:val="22"/>
                <w:szCs w:val="22"/>
                <w:color w:val="0000EE"/>
                <w:w w:val="96"/>
              </w:rPr>
            </w:pPr>
            <w:hyperlink r:id="rId52">
              <w:r>
                <w:rPr>
                  <w:rFonts w:ascii="Arial" w:cs="Arial" w:eastAsia="Arial" w:hAnsi="Arial"/>
                  <w:sz w:val="22"/>
                  <w:szCs w:val="22"/>
                  <w:color w:val="0000EE"/>
                  <w:w w:val="96"/>
                </w:rPr>
                <w:t>Delaware limited liability company (“Seller”) and Aqua America, Inc., a Pennsylvania</w:t>
              </w:r>
            </w:hyperlink>
          </w:p>
        </w:tc>
        <w:tc>
          <w:tcPr>
            <w:tcW w:w="0" w:type="dxa"/>
            <w:vAlign w:val="bottom"/>
          </w:tcPr>
          <w:p>
            <w:pPr>
              <w:spacing w:after="0"/>
              <w:rPr>
                <w:sz w:val="1"/>
                <w:szCs w:val="1"/>
                <w:color w:val="auto"/>
              </w:rPr>
            </w:pPr>
          </w:p>
        </w:tc>
      </w:tr>
      <w:tr>
        <w:trPr>
          <w:trHeight w:val="20"/>
        </w:trPr>
        <w:tc>
          <w:tcPr>
            <w:tcW w:w="14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2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400" w:type="dxa"/>
            <w:vAlign w:val="bottom"/>
            <w:shd w:val="clear" w:color="auto" w:fill="0000EE"/>
          </w:tcPr>
          <w:p>
            <w:pPr>
              <w:spacing w:after="0" w:line="20" w:lineRule="exact"/>
              <w:rPr>
                <w:sz w:val="1"/>
                <w:szCs w:val="1"/>
                <w:color w:val="auto"/>
              </w:rPr>
            </w:pPr>
          </w:p>
        </w:tc>
        <w:tc>
          <w:tcPr>
            <w:tcW w:w="18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4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900" w:type="dxa"/>
            <w:vAlign w:val="bottom"/>
            <w:gridSpan w:val="15"/>
          </w:tcPr>
          <w:p>
            <w:pPr>
              <w:spacing w:after="0" w:line="223" w:lineRule="exact"/>
              <w:rPr>
                <w:rFonts w:ascii="Arial" w:cs="Arial" w:eastAsia="Arial" w:hAnsi="Arial"/>
                <w:sz w:val="22"/>
                <w:szCs w:val="22"/>
                <w:color w:val="0000EE"/>
                <w:w w:val="94"/>
              </w:rPr>
            </w:pPr>
            <w:hyperlink r:id="rId52">
              <w:r>
                <w:rPr>
                  <w:rFonts w:ascii="Arial" w:cs="Arial" w:eastAsia="Arial" w:hAnsi="Arial"/>
                  <w:sz w:val="22"/>
                  <w:szCs w:val="22"/>
                  <w:color w:val="0000EE"/>
                  <w:w w:val="94"/>
                </w:rPr>
                <w:t>corporation (incorporated by reference to Exhibit 2.1 to the Company’s Current Report</w:t>
              </w:r>
            </w:hyperlink>
          </w:p>
        </w:tc>
        <w:tc>
          <w:tcPr>
            <w:tcW w:w="0" w:type="dxa"/>
            <w:vAlign w:val="bottom"/>
          </w:tcPr>
          <w:p>
            <w:pPr>
              <w:spacing w:after="0"/>
              <w:rPr>
                <w:sz w:val="1"/>
                <w:szCs w:val="1"/>
                <w:color w:val="auto"/>
              </w:rPr>
            </w:pPr>
          </w:p>
        </w:tc>
      </w:tr>
      <w:tr>
        <w:trPr>
          <w:trHeight w:val="223"/>
        </w:trPr>
        <w:tc>
          <w:tcPr>
            <w:tcW w:w="1480" w:type="dxa"/>
            <w:vAlign w:val="bottom"/>
            <w:vMerge w:val="restart"/>
          </w:tcPr>
          <w:p>
            <w:pPr>
              <w:ind w:left="100"/>
              <w:spacing w:after="0"/>
              <w:rPr>
                <w:sz w:val="20"/>
                <w:szCs w:val="20"/>
                <w:color w:val="auto"/>
              </w:rPr>
            </w:pPr>
            <w:r>
              <w:rPr>
                <w:rFonts w:ascii="Arial" w:cs="Arial" w:eastAsia="Arial" w:hAnsi="Arial"/>
                <w:sz w:val="22"/>
                <w:szCs w:val="22"/>
                <w:color w:val="auto"/>
              </w:rPr>
              <w:t>3.1</w:t>
            </w: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760" w:type="dxa"/>
            <w:vAlign w:val="bottom"/>
            <w:tcBorders>
              <w:top w:val="single" w:sz="8" w:color="0000EE"/>
              <w:bottom w:val="single" w:sz="8" w:color="0000EE"/>
            </w:tcBorders>
            <w:gridSpan w:val="3"/>
          </w:tcPr>
          <w:p>
            <w:pPr>
              <w:spacing w:after="0" w:line="223" w:lineRule="exact"/>
              <w:rPr>
                <w:rFonts w:ascii="Arial" w:cs="Arial" w:eastAsia="Arial" w:hAnsi="Arial"/>
                <w:sz w:val="22"/>
                <w:szCs w:val="22"/>
                <w:color w:val="0000EE"/>
                <w:w w:val="90"/>
              </w:rPr>
            </w:pPr>
            <w:hyperlink r:id="rId52">
              <w:r>
                <w:rPr>
                  <w:rFonts w:ascii="Arial" w:cs="Arial" w:eastAsia="Arial" w:hAnsi="Arial"/>
                  <w:sz w:val="22"/>
                  <w:szCs w:val="22"/>
                  <w:color w:val="0000EE"/>
                  <w:w w:val="90"/>
                </w:rPr>
                <w:t>on Form 8-K, filed with the SEC on October 23, 2018)</w:t>
              </w:r>
            </w:hyperlink>
          </w:p>
        </w:tc>
        <w:tc>
          <w:tcPr>
            <w:tcW w:w="2760" w:type="dxa"/>
            <w:vAlign w:val="bottom"/>
            <w:tcBorders>
              <w:top w:val="single" w:sz="8" w:color="0000EE"/>
            </w:tcBorders>
            <w:gridSpan w:val="8"/>
          </w:tcPr>
          <w:p>
            <w:pPr>
              <w:spacing w:after="0"/>
              <w:rPr>
                <w:sz w:val="19"/>
                <w:szCs w:val="19"/>
                <w:color w:val="auto"/>
              </w:rPr>
            </w:pPr>
          </w:p>
        </w:tc>
        <w:tc>
          <w:tcPr>
            <w:tcW w:w="380" w:type="dxa"/>
            <w:vAlign w:val="bottom"/>
            <w:gridSpan w:val="4"/>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480" w:type="dxa"/>
            <w:vAlign w:val="bottom"/>
            <w:vMerge w:val="continue"/>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40" w:type="dxa"/>
            <w:vAlign w:val="bottom"/>
            <w:tcBorders>
              <w:bottom w:val="single" w:sz="8" w:color="0000EE"/>
            </w:tcBorders>
            <w:gridSpan w:val="6"/>
          </w:tcPr>
          <w:p>
            <w:pPr>
              <w:spacing w:after="0" w:line="223" w:lineRule="exact"/>
              <w:rPr>
                <w:rFonts w:ascii="Arial" w:cs="Arial" w:eastAsia="Arial" w:hAnsi="Arial"/>
                <w:sz w:val="22"/>
                <w:szCs w:val="22"/>
                <w:color w:val="0000EE"/>
                <w:w w:val="89"/>
              </w:rPr>
            </w:pPr>
            <w:hyperlink r:id="rId53">
              <w:r>
                <w:rPr>
                  <w:rFonts w:ascii="Arial" w:cs="Arial" w:eastAsia="Arial" w:hAnsi="Arial"/>
                  <w:sz w:val="22"/>
                  <w:szCs w:val="22"/>
                  <w:color w:val="0000EE"/>
                  <w:w w:val="89"/>
                </w:rPr>
                <w:t>Amended and Restated Bylaws (incorporated by reference to Exhibit 3.1 to the</w:t>
              </w:r>
            </w:hyperlink>
          </w:p>
        </w:tc>
        <w:tc>
          <w:tcPr>
            <w:tcW w:w="1060" w:type="dxa"/>
            <w:vAlign w:val="bottom"/>
            <w:gridSpan w:val="9"/>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480" w:type="dxa"/>
            <w:vAlign w:val="bottom"/>
            <w:vMerge w:val="restart"/>
          </w:tcPr>
          <w:p>
            <w:pPr>
              <w:ind w:left="100"/>
              <w:spacing w:after="0"/>
              <w:rPr>
                <w:sz w:val="20"/>
                <w:szCs w:val="20"/>
                <w:color w:val="auto"/>
              </w:rPr>
            </w:pPr>
            <w:r>
              <w:rPr>
                <w:rFonts w:ascii="Arial" w:cs="Arial" w:eastAsia="Arial" w:hAnsi="Arial"/>
                <w:sz w:val="22"/>
                <w:szCs w:val="22"/>
                <w:color w:val="auto"/>
              </w:rPr>
              <w:t>10.1</w:t>
            </w: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20" w:type="dxa"/>
            <w:vAlign w:val="bottom"/>
            <w:tcBorders>
              <w:bottom w:val="single" w:sz="8" w:color="0000EE"/>
            </w:tcBorders>
            <w:gridSpan w:val="7"/>
          </w:tcPr>
          <w:p>
            <w:pPr>
              <w:spacing w:after="0" w:line="223" w:lineRule="exact"/>
              <w:rPr>
                <w:rFonts w:ascii="Arial" w:cs="Arial" w:eastAsia="Arial" w:hAnsi="Arial"/>
                <w:sz w:val="22"/>
                <w:szCs w:val="22"/>
                <w:color w:val="0000EE"/>
                <w:w w:val="90"/>
              </w:rPr>
            </w:pPr>
            <w:hyperlink r:id="rId53">
              <w:r>
                <w:rPr>
                  <w:rFonts w:ascii="Arial" w:cs="Arial" w:eastAsia="Arial" w:hAnsi="Arial"/>
                  <w:sz w:val="22"/>
                  <w:szCs w:val="22"/>
                  <w:color w:val="0000EE"/>
                  <w:w w:val="90"/>
                </w:rPr>
                <w:t>Company’s Current Report on Form 8-K filed with the SEC on August 10, 2018)</w:t>
              </w:r>
            </w:hyperlink>
          </w:p>
        </w:tc>
        <w:tc>
          <w:tcPr>
            <w:tcW w:w="880" w:type="dxa"/>
            <w:vAlign w:val="bottom"/>
            <w:gridSpan w:val="8"/>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480" w:type="dxa"/>
            <w:vAlign w:val="bottom"/>
            <w:vMerge w:val="continue"/>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580" w:type="dxa"/>
            <w:vAlign w:val="bottom"/>
            <w:tcBorders>
              <w:bottom w:val="single" w:sz="8" w:color="0000EE"/>
            </w:tcBorders>
            <w:gridSpan w:val="12"/>
          </w:tcPr>
          <w:p>
            <w:pPr>
              <w:spacing w:after="0" w:line="223" w:lineRule="exact"/>
              <w:rPr>
                <w:rFonts w:ascii="Arial" w:cs="Arial" w:eastAsia="Arial" w:hAnsi="Arial"/>
                <w:sz w:val="22"/>
                <w:szCs w:val="22"/>
                <w:color w:val="0000EE"/>
                <w:w w:val="90"/>
              </w:rPr>
            </w:pPr>
            <w:hyperlink r:id="rId54">
              <w:r>
                <w:rPr>
                  <w:rFonts w:ascii="Arial" w:cs="Arial" w:eastAsia="Arial" w:hAnsi="Arial"/>
                  <w:sz w:val="22"/>
                  <w:szCs w:val="22"/>
                  <w:color w:val="0000EE"/>
                  <w:w w:val="90"/>
                </w:rPr>
                <w:t>Form of Change In Control Agreement with Daniel Schuller (incorporated by reference</w:t>
              </w:r>
            </w:hyperlink>
          </w:p>
        </w:tc>
        <w:tc>
          <w:tcPr>
            <w:tcW w:w="320" w:type="dxa"/>
            <w:vAlign w:val="bottom"/>
            <w:gridSpan w:val="3"/>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4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0" w:type="dxa"/>
            <w:vAlign w:val="bottom"/>
            <w:tcBorders>
              <w:bottom w:val="single" w:sz="8" w:color="0000EE"/>
            </w:tcBorders>
            <w:gridSpan w:val="9"/>
          </w:tcPr>
          <w:p>
            <w:pPr>
              <w:spacing w:after="0" w:line="223" w:lineRule="exact"/>
              <w:rPr>
                <w:rFonts w:ascii="Arial" w:cs="Arial" w:eastAsia="Arial" w:hAnsi="Arial"/>
                <w:sz w:val="22"/>
                <w:szCs w:val="22"/>
                <w:color w:val="0000EE"/>
                <w:w w:val="90"/>
              </w:rPr>
            </w:pPr>
            <w:hyperlink r:id="rId54">
              <w:r>
                <w:rPr>
                  <w:rFonts w:ascii="Arial" w:cs="Arial" w:eastAsia="Arial" w:hAnsi="Arial"/>
                  <w:sz w:val="22"/>
                  <w:szCs w:val="22"/>
                  <w:color w:val="0000EE"/>
                  <w:w w:val="90"/>
                </w:rPr>
                <w:t>to Exhibit 10.1 to the Company’s Current Report on From 8-K, filed with the SEC on</w:t>
              </w:r>
            </w:hyperlink>
          </w:p>
        </w:tc>
        <w:tc>
          <w:tcPr>
            <w:tcW w:w="500" w:type="dxa"/>
            <w:vAlign w:val="bottom"/>
            <w:gridSpan w:val="6"/>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480" w:type="dxa"/>
            <w:vAlign w:val="bottom"/>
            <w:vMerge w:val="restart"/>
          </w:tcPr>
          <w:p>
            <w:pPr>
              <w:ind w:left="100"/>
              <w:spacing w:after="0"/>
              <w:rPr>
                <w:sz w:val="20"/>
                <w:szCs w:val="20"/>
                <w:color w:val="auto"/>
              </w:rPr>
            </w:pPr>
            <w:r>
              <w:rPr>
                <w:rFonts w:ascii="Arial" w:cs="Arial" w:eastAsia="Arial" w:hAnsi="Arial"/>
                <w:sz w:val="22"/>
                <w:szCs w:val="22"/>
                <w:color w:val="auto"/>
              </w:rPr>
              <w:t>31.1</w:t>
            </w: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20" w:type="dxa"/>
            <w:vAlign w:val="bottom"/>
            <w:tcBorders>
              <w:bottom w:val="single" w:sz="8" w:color="0000EE"/>
            </w:tcBorders>
          </w:tcPr>
          <w:p>
            <w:pPr>
              <w:spacing w:after="0" w:line="223" w:lineRule="exact"/>
              <w:rPr>
                <w:rFonts w:ascii="Arial" w:cs="Arial" w:eastAsia="Arial" w:hAnsi="Arial"/>
                <w:sz w:val="22"/>
                <w:szCs w:val="22"/>
                <w:color w:val="0000EE"/>
                <w:w w:val="87"/>
              </w:rPr>
            </w:pPr>
            <w:hyperlink r:id="rId54">
              <w:r>
                <w:rPr>
                  <w:rFonts w:ascii="Arial" w:cs="Arial" w:eastAsia="Arial" w:hAnsi="Arial"/>
                  <w:sz w:val="22"/>
                  <w:szCs w:val="22"/>
                  <w:color w:val="0000EE"/>
                  <w:w w:val="87"/>
                </w:rPr>
                <w:t>September 28, 2018)</w:t>
              </w:r>
            </w:hyperlink>
          </w:p>
        </w:tc>
        <w:tc>
          <w:tcPr>
            <w:tcW w:w="6080" w:type="dxa"/>
            <w:vAlign w:val="bottom"/>
            <w:gridSpan w:val="14"/>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480" w:type="dxa"/>
            <w:vAlign w:val="bottom"/>
            <w:vMerge w:val="continue"/>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60" w:type="dxa"/>
            <w:vAlign w:val="bottom"/>
            <w:tcBorders>
              <w:bottom w:val="single" w:sz="8" w:color="0000EE"/>
            </w:tcBorders>
            <w:gridSpan w:val="14"/>
          </w:tcPr>
          <w:p>
            <w:pPr>
              <w:spacing w:after="0" w:line="223" w:lineRule="exact"/>
              <w:rPr>
                <w:rFonts w:ascii="Arial" w:cs="Arial" w:eastAsia="Arial" w:hAnsi="Arial"/>
                <w:sz w:val="22"/>
                <w:szCs w:val="22"/>
                <w:color w:val="0000EE"/>
                <w:w w:val="90"/>
              </w:rPr>
            </w:pPr>
            <w:hyperlink w:anchor="page44">
              <w:r>
                <w:rPr>
                  <w:rFonts w:ascii="Arial" w:cs="Arial" w:eastAsia="Arial" w:hAnsi="Arial"/>
                  <w:sz w:val="22"/>
                  <w:szCs w:val="22"/>
                  <w:color w:val="0000EE"/>
                  <w:w w:val="90"/>
                </w:rPr>
                <w:t>Certification of Chief Executive Officer, pursuant to Rule 13a-14(a) under the Securities</w:t>
              </w:r>
            </w:hyperlink>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480" w:type="dxa"/>
            <w:vAlign w:val="bottom"/>
            <w:vMerge w:val="restart"/>
          </w:tcPr>
          <w:p>
            <w:pPr>
              <w:ind w:left="100"/>
              <w:spacing w:after="0"/>
              <w:rPr>
                <w:sz w:val="20"/>
                <w:szCs w:val="20"/>
                <w:color w:val="auto"/>
              </w:rPr>
            </w:pPr>
            <w:r>
              <w:rPr>
                <w:rFonts w:ascii="Arial" w:cs="Arial" w:eastAsia="Arial" w:hAnsi="Arial"/>
                <w:sz w:val="22"/>
                <w:szCs w:val="22"/>
                <w:color w:val="auto"/>
              </w:rPr>
              <w:t>31.2</w:t>
            </w: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900" w:type="dxa"/>
            <w:vAlign w:val="bottom"/>
            <w:gridSpan w:val="15"/>
          </w:tcPr>
          <w:p>
            <w:pPr>
              <w:spacing w:after="0" w:line="223" w:lineRule="exact"/>
              <w:rPr>
                <w:rFonts w:ascii="Arial" w:cs="Arial" w:eastAsia="Arial" w:hAnsi="Arial"/>
                <w:sz w:val="22"/>
                <w:szCs w:val="22"/>
                <w:color w:val="0000EE"/>
              </w:rPr>
            </w:pPr>
            <w:hyperlink w:anchor="page44">
              <w:r>
                <w:rPr>
                  <w:rFonts w:ascii="Arial" w:cs="Arial" w:eastAsia="Arial" w:hAnsi="Arial"/>
                  <w:sz w:val="22"/>
                  <w:szCs w:val="22"/>
                  <w:color w:val="0000EE"/>
                </w:rPr>
                <w:t>and Exchange Act of 1934.</w:t>
              </w:r>
            </w:hyperlink>
          </w:p>
        </w:tc>
        <w:tc>
          <w:tcPr>
            <w:tcW w:w="0" w:type="dxa"/>
            <w:vAlign w:val="bottom"/>
          </w:tcPr>
          <w:p>
            <w:pPr>
              <w:spacing w:after="0"/>
              <w:rPr>
                <w:sz w:val="1"/>
                <w:szCs w:val="1"/>
                <w:color w:val="auto"/>
              </w:rPr>
            </w:pPr>
          </w:p>
        </w:tc>
      </w:tr>
      <w:tr>
        <w:trPr>
          <w:trHeight w:val="20"/>
        </w:trPr>
        <w:tc>
          <w:tcPr>
            <w:tcW w:w="1480" w:type="dxa"/>
            <w:vAlign w:val="bottom"/>
            <w:vMerge w:val="continu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360" w:type="dxa"/>
            <w:vAlign w:val="bottom"/>
            <w:gridSpan w:val="2"/>
            <w:shd w:val="clear" w:color="auto" w:fill="0000EE"/>
          </w:tcPr>
          <w:p>
            <w:pPr>
              <w:spacing w:after="0" w:line="20" w:lineRule="exact"/>
              <w:rPr>
                <w:sz w:val="1"/>
                <w:szCs w:val="1"/>
                <w:color w:val="auto"/>
              </w:rPr>
            </w:pPr>
          </w:p>
        </w:tc>
        <w:tc>
          <w:tcPr>
            <w:tcW w:w="42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20" w:type="dxa"/>
            <w:vAlign w:val="bottom"/>
            <w:gridSpan w:val="8"/>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480" w:type="dxa"/>
            <w:vAlign w:val="bottom"/>
            <w:vMerge w:val="continue"/>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0" w:type="dxa"/>
            <w:vAlign w:val="bottom"/>
            <w:tcBorders>
              <w:bottom w:val="single" w:sz="8" w:color="0000EE"/>
            </w:tcBorders>
            <w:gridSpan w:val="13"/>
          </w:tcPr>
          <w:p>
            <w:pPr>
              <w:spacing w:after="0" w:line="223" w:lineRule="exact"/>
              <w:rPr>
                <w:rFonts w:ascii="Arial" w:cs="Arial" w:eastAsia="Arial" w:hAnsi="Arial"/>
                <w:sz w:val="22"/>
                <w:szCs w:val="22"/>
                <w:color w:val="0000EE"/>
                <w:w w:val="90"/>
              </w:rPr>
            </w:pPr>
            <w:hyperlink w:anchor="page45">
              <w:r>
                <w:rPr>
                  <w:rFonts w:ascii="Arial" w:cs="Arial" w:eastAsia="Arial" w:hAnsi="Arial"/>
                  <w:sz w:val="22"/>
                  <w:szCs w:val="22"/>
                  <w:color w:val="0000EE"/>
                  <w:w w:val="90"/>
                </w:rPr>
                <w:t>Certification of Chief Financial Officer, pursuant to Rule 13a-14(a) under the Securities</w:t>
              </w:r>
            </w:hyperlink>
          </w:p>
        </w:tc>
        <w:tc>
          <w:tcPr>
            <w:tcW w:w="300" w:type="dxa"/>
            <w:vAlign w:val="bottom"/>
            <w:gridSpan w:val="2"/>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480" w:type="dxa"/>
            <w:vAlign w:val="bottom"/>
            <w:vMerge w:val="restart"/>
          </w:tcPr>
          <w:p>
            <w:pPr>
              <w:ind w:left="100"/>
              <w:spacing w:after="0"/>
              <w:rPr>
                <w:sz w:val="20"/>
                <w:szCs w:val="20"/>
                <w:color w:val="auto"/>
              </w:rPr>
            </w:pPr>
            <w:r>
              <w:rPr>
                <w:rFonts w:ascii="Arial" w:cs="Arial" w:eastAsia="Arial" w:hAnsi="Arial"/>
                <w:sz w:val="22"/>
                <w:szCs w:val="22"/>
                <w:color w:val="auto"/>
              </w:rPr>
              <w:t>32.1</w:t>
            </w: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900" w:type="dxa"/>
            <w:vAlign w:val="bottom"/>
            <w:gridSpan w:val="15"/>
          </w:tcPr>
          <w:p>
            <w:pPr>
              <w:spacing w:after="0" w:line="223" w:lineRule="exact"/>
              <w:rPr>
                <w:rFonts w:ascii="Arial" w:cs="Arial" w:eastAsia="Arial" w:hAnsi="Arial"/>
                <w:sz w:val="22"/>
                <w:szCs w:val="22"/>
                <w:color w:val="0000EE"/>
              </w:rPr>
            </w:pPr>
            <w:hyperlink w:anchor="page45">
              <w:r>
                <w:rPr>
                  <w:rFonts w:ascii="Arial" w:cs="Arial" w:eastAsia="Arial" w:hAnsi="Arial"/>
                  <w:sz w:val="22"/>
                  <w:szCs w:val="22"/>
                  <w:color w:val="0000EE"/>
                </w:rPr>
                <w:t>and Exchange Act of 1934.</w:t>
              </w:r>
            </w:hyperlink>
          </w:p>
        </w:tc>
        <w:tc>
          <w:tcPr>
            <w:tcW w:w="0" w:type="dxa"/>
            <w:vAlign w:val="bottom"/>
          </w:tcPr>
          <w:p>
            <w:pPr>
              <w:spacing w:after="0"/>
              <w:rPr>
                <w:sz w:val="1"/>
                <w:szCs w:val="1"/>
                <w:color w:val="auto"/>
              </w:rPr>
            </w:pPr>
          </w:p>
        </w:tc>
      </w:tr>
      <w:tr>
        <w:trPr>
          <w:trHeight w:val="20"/>
        </w:trPr>
        <w:tc>
          <w:tcPr>
            <w:tcW w:w="1480" w:type="dxa"/>
            <w:vAlign w:val="bottom"/>
            <w:vMerge w:val="continu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360" w:type="dxa"/>
            <w:vAlign w:val="bottom"/>
            <w:gridSpan w:val="2"/>
            <w:shd w:val="clear" w:color="auto" w:fill="0000EE"/>
          </w:tcPr>
          <w:p>
            <w:pPr>
              <w:spacing w:after="0" w:line="20" w:lineRule="exact"/>
              <w:rPr>
                <w:sz w:val="1"/>
                <w:szCs w:val="1"/>
                <w:color w:val="auto"/>
              </w:rPr>
            </w:pPr>
          </w:p>
        </w:tc>
        <w:tc>
          <w:tcPr>
            <w:tcW w:w="42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20" w:type="dxa"/>
            <w:vAlign w:val="bottom"/>
            <w:gridSpan w:val="1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480" w:type="dxa"/>
            <w:vAlign w:val="bottom"/>
            <w:vMerge w:val="continue"/>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80" w:type="dxa"/>
            <w:vAlign w:val="bottom"/>
            <w:tcBorders>
              <w:bottom w:val="single" w:sz="8" w:color="0000EE"/>
            </w:tcBorders>
            <w:gridSpan w:val="5"/>
          </w:tcPr>
          <w:p>
            <w:pPr>
              <w:spacing w:after="0" w:line="223" w:lineRule="exact"/>
              <w:rPr>
                <w:rFonts w:ascii="Arial" w:cs="Arial" w:eastAsia="Arial" w:hAnsi="Arial"/>
                <w:sz w:val="22"/>
                <w:szCs w:val="22"/>
                <w:color w:val="0000EE"/>
                <w:w w:val="90"/>
              </w:rPr>
            </w:pPr>
            <w:hyperlink w:anchor="page46">
              <w:r>
                <w:rPr>
                  <w:rFonts w:ascii="Arial" w:cs="Arial" w:eastAsia="Arial" w:hAnsi="Arial"/>
                  <w:sz w:val="22"/>
                  <w:szCs w:val="22"/>
                  <w:color w:val="0000EE"/>
                  <w:w w:val="90"/>
                </w:rPr>
                <w:t>Certification of Chief Executive Officer, pursuant to 18 U.S.C. Section 1350.</w:t>
              </w:r>
            </w:hyperlink>
          </w:p>
        </w:tc>
        <w:tc>
          <w:tcPr>
            <w:tcW w:w="1220" w:type="dxa"/>
            <w:vAlign w:val="bottom"/>
            <w:gridSpan w:val="10"/>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480" w:type="dxa"/>
            <w:vAlign w:val="bottom"/>
          </w:tcPr>
          <w:p>
            <w:pPr>
              <w:ind w:left="100"/>
              <w:spacing w:after="0" w:line="223" w:lineRule="exact"/>
              <w:rPr>
                <w:sz w:val="20"/>
                <w:szCs w:val="20"/>
                <w:color w:val="auto"/>
              </w:rPr>
            </w:pPr>
            <w:r>
              <w:rPr>
                <w:rFonts w:ascii="Arial" w:cs="Arial" w:eastAsia="Arial" w:hAnsi="Arial"/>
                <w:sz w:val="22"/>
                <w:szCs w:val="22"/>
                <w:color w:val="auto"/>
              </w:rPr>
              <w:t>32.2</w:t>
            </w: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20" w:type="dxa"/>
            <w:vAlign w:val="bottom"/>
            <w:tcBorders>
              <w:bottom w:val="single" w:sz="8" w:color="0000EE"/>
            </w:tcBorders>
            <w:gridSpan w:val="4"/>
          </w:tcPr>
          <w:p>
            <w:pPr>
              <w:spacing w:after="0" w:line="223" w:lineRule="exact"/>
              <w:rPr>
                <w:rFonts w:ascii="Arial" w:cs="Arial" w:eastAsia="Arial" w:hAnsi="Arial"/>
                <w:sz w:val="22"/>
                <w:szCs w:val="22"/>
                <w:color w:val="0000EE"/>
                <w:w w:val="90"/>
              </w:rPr>
            </w:pPr>
            <w:hyperlink w:anchor="page47">
              <w:r>
                <w:rPr>
                  <w:rFonts w:ascii="Arial" w:cs="Arial" w:eastAsia="Arial" w:hAnsi="Arial"/>
                  <w:sz w:val="22"/>
                  <w:szCs w:val="22"/>
                  <w:color w:val="0000EE"/>
                  <w:w w:val="90"/>
                </w:rPr>
                <w:t>Certification of Chief Financial Officer, pursuant to 18 U.S.C. Section 1350.</w:t>
              </w:r>
            </w:hyperlink>
          </w:p>
        </w:tc>
        <w:tc>
          <w:tcPr>
            <w:tcW w:w="1280" w:type="dxa"/>
            <w:vAlign w:val="bottom"/>
            <w:gridSpan w:val="11"/>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1860" w:type="dxa"/>
            <w:vAlign w:val="bottom"/>
            <w:gridSpan w:val="2"/>
          </w:tcPr>
          <w:p>
            <w:pPr>
              <w:ind w:left="100"/>
              <w:spacing w:after="0" w:line="242" w:lineRule="exact"/>
              <w:rPr>
                <w:sz w:val="20"/>
                <w:szCs w:val="20"/>
                <w:color w:val="auto"/>
              </w:rPr>
            </w:pPr>
            <w:r>
              <w:rPr>
                <w:rFonts w:ascii="Arial" w:cs="Arial" w:eastAsia="Arial" w:hAnsi="Arial"/>
                <w:sz w:val="22"/>
                <w:szCs w:val="22"/>
                <w:color w:val="auto"/>
              </w:rPr>
              <w:t>101.INS</w:t>
            </w:r>
          </w:p>
        </w:tc>
        <w:tc>
          <w:tcPr>
            <w:tcW w:w="100" w:type="dxa"/>
            <w:vAlign w:val="bottom"/>
          </w:tcPr>
          <w:p>
            <w:pPr>
              <w:spacing w:after="0"/>
              <w:rPr>
                <w:sz w:val="21"/>
                <w:szCs w:val="21"/>
                <w:color w:val="auto"/>
              </w:rPr>
            </w:pPr>
          </w:p>
        </w:tc>
        <w:tc>
          <w:tcPr>
            <w:tcW w:w="7900" w:type="dxa"/>
            <w:vAlign w:val="bottom"/>
            <w:gridSpan w:val="15"/>
          </w:tcPr>
          <w:p>
            <w:pPr>
              <w:spacing w:after="0" w:line="242" w:lineRule="exact"/>
              <w:rPr>
                <w:sz w:val="20"/>
                <w:szCs w:val="20"/>
                <w:color w:val="auto"/>
              </w:rPr>
            </w:pPr>
            <w:r>
              <w:rPr>
                <w:rFonts w:ascii="Arial" w:cs="Arial" w:eastAsia="Arial" w:hAnsi="Arial"/>
                <w:sz w:val="22"/>
                <w:szCs w:val="22"/>
                <w:color w:val="auto"/>
              </w:rPr>
              <w:t>XBRL Instance Document</w:t>
            </w:r>
          </w:p>
        </w:tc>
        <w:tc>
          <w:tcPr>
            <w:tcW w:w="0" w:type="dxa"/>
            <w:vAlign w:val="bottom"/>
          </w:tcPr>
          <w:p>
            <w:pPr>
              <w:spacing w:after="0"/>
              <w:rPr>
                <w:sz w:val="1"/>
                <w:szCs w:val="1"/>
                <w:color w:val="auto"/>
              </w:rPr>
            </w:pPr>
          </w:p>
        </w:tc>
      </w:tr>
      <w:tr>
        <w:trPr>
          <w:trHeight w:val="243"/>
        </w:trPr>
        <w:tc>
          <w:tcPr>
            <w:tcW w:w="1860" w:type="dxa"/>
            <w:vAlign w:val="bottom"/>
            <w:gridSpan w:val="2"/>
          </w:tcPr>
          <w:p>
            <w:pPr>
              <w:ind w:left="100"/>
              <w:spacing w:after="0" w:line="243" w:lineRule="exact"/>
              <w:rPr>
                <w:sz w:val="20"/>
                <w:szCs w:val="20"/>
                <w:color w:val="auto"/>
              </w:rPr>
            </w:pPr>
            <w:r>
              <w:rPr>
                <w:rFonts w:ascii="Arial" w:cs="Arial" w:eastAsia="Arial" w:hAnsi="Arial"/>
                <w:sz w:val="22"/>
                <w:szCs w:val="22"/>
                <w:color w:val="auto"/>
              </w:rPr>
              <w:t>101.SCH</w:t>
            </w:r>
          </w:p>
        </w:tc>
        <w:tc>
          <w:tcPr>
            <w:tcW w:w="100" w:type="dxa"/>
            <w:vAlign w:val="bottom"/>
          </w:tcPr>
          <w:p>
            <w:pPr>
              <w:spacing w:after="0"/>
              <w:rPr>
                <w:sz w:val="21"/>
                <w:szCs w:val="21"/>
                <w:color w:val="auto"/>
              </w:rPr>
            </w:pPr>
          </w:p>
        </w:tc>
        <w:tc>
          <w:tcPr>
            <w:tcW w:w="7900" w:type="dxa"/>
            <w:vAlign w:val="bottom"/>
            <w:gridSpan w:val="15"/>
          </w:tcPr>
          <w:p>
            <w:pPr>
              <w:spacing w:after="0" w:line="243" w:lineRule="exact"/>
              <w:rPr>
                <w:sz w:val="20"/>
                <w:szCs w:val="20"/>
                <w:color w:val="auto"/>
              </w:rPr>
            </w:pPr>
            <w:r>
              <w:rPr>
                <w:rFonts w:ascii="Arial" w:cs="Arial" w:eastAsia="Arial" w:hAnsi="Arial"/>
                <w:sz w:val="22"/>
                <w:szCs w:val="22"/>
                <w:color w:val="auto"/>
              </w:rPr>
              <w:t>XBRL Taxonomy Extension Schema Document</w:t>
            </w:r>
          </w:p>
        </w:tc>
        <w:tc>
          <w:tcPr>
            <w:tcW w:w="0" w:type="dxa"/>
            <w:vAlign w:val="bottom"/>
          </w:tcPr>
          <w:p>
            <w:pPr>
              <w:spacing w:after="0"/>
              <w:rPr>
                <w:sz w:val="1"/>
                <w:szCs w:val="1"/>
                <w:color w:val="auto"/>
              </w:rPr>
            </w:pPr>
          </w:p>
        </w:tc>
      </w:tr>
      <w:tr>
        <w:trPr>
          <w:trHeight w:val="243"/>
        </w:trPr>
        <w:tc>
          <w:tcPr>
            <w:tcW w:w="1860" w:type="dxa"/>
            <w:vAlign w:val="bottom"/>
            <w:gridSpan w:val="2"/>
          </w:tcPr>
          <w:p>
            <w:pPr>
              <w:ind w:left="100"/>
              <w:spacing w:after="0" w:line="243" w:lineRule="exact"/>
              <w:rPr>
                <w:sz w:val="20"/>
                <w:szCs w:val="20"/>
                <w:color w:val="auto"/>
              </w:rPr>
            </w:pPr>
            <w:r>
              <w:rPr>
                <w:rFonts w:ascii="Arial" w:cs="Arial" w:eastAsia="Arial" w:hAnsi="Arial"/>
                <w:sz w:val="22"/>
                <w:szCs w:val="22"/>
                <w:color w:val="auto"/>
              </w:rPr>
              <w:t>101.CAL</w:t>
            </w:r>
          </w:p>
        </w:tc>
        <w:tc>
          <w:tcPr>
            <w:tcW w:w="100" w:type="dxa"/>
            <w:vAlign w:val="bottom"/>
          </w:tcPr>
          <w:p>
            <w:pPr>
              <w:spacing w:after="0"/>
              <w:rPr>
                <w:sz w:val="21"/>
                <w:szCs w:val="21"/>
                <w:color w:val="auto"/>
              </w:rPr>
            </w:pPr>
          </w:p>
        </w:tc>
        <w:tc>
          <w:tcPr>
            <w:tcW w:w="7900" w:type="dxa"/>
            <w:vAlign w:val="bottom"/>
            <w:gridSpan w:val="15"/>
          </w:tcPr>
          <w:p>
            <w:pPr>
              <w:spacing w:after="0" w:line="243" w:lineRule="exact"/>
              <w:rPr>
                <w:sz w:val="20"/>
                <w:szCs w:val="20"/>
                <w:color w:val="auto"/>
              </w:rPr>
            </w:pPr>
            <w:r>
              <w:rPr>
                <w:rFonts w:ascii="Arial" w:cs="Arial" w:eastAsia="Arial" w:hAnsi="Arial"/>
                <w:sz w:val="22"/>
                <w:szCs w:val="22"/>
                <w:color w:val="auto"/>
              </w:rPr>
              <w:t>XBRL Taxonomy Extension Calculation Linkbase Document</w:t>
            </w:r>
          </w:p>
        </w:tc>
        <w:tc>
          <w:tcPr>
            <w:tcW w:w="0" w:type="dxa"/>
            <w:vAlign w:val="bottom"/>
          </w:tcPr>
          <w:p>
            <w:pPr>
              <w:spacing w:after="0"/>
              <w:rPr>
                <w:sz w:val="1"/>
                <w:szCs w:val="1"/>
                <w:color w:val="auto"/>
              </w:rPr>
            </w:pPr>
          </w:p>
        </w:tc>
      </w:tr>
      <w:tr>
        <w:trPr>
          <w:trHeight w:val="243"/>
        </w:trPr>
        <w:tc>
          <w:tcPr>
            <w:tcW w:w="1860" w:type="dxa"/>
            <w:vAlign w:val="bottom"/>
            <w:gridSpan w:val="2"/>
          </w:tcPr>
          <w:p>
            <w:pPr>
              <w:ind w:left="100"/>
              <w:spacing w:after="0" w:line="243" w:lineRule="exact"/>
              <w:rPr>
                <w:sz w:val="20"/>
                <w:szCs w:val="20"/>
                <w:color w:val="auto"/>
              </w:rPr>
            </w:pPr>
            <w:r>
              <w:rPr>
                <w:rFonts w:ascii="Arial" w:cs="Arial" w:eastAsia="Arial" w:hAnsi="Arial"/>
                <w:sz w:val="22"/>
                <w:szCs w:val="22"/>
                <w:color w:val="auto"/>
              </w:rPr>
              <w:t>101.DEF</w:t>
            </w:r>
          </w:p>
        </w:tc>
        <w:tc>
          <w:tcPr>
            <w:tcW w:w="100" w:type="dxa"/>
            <w:vAlign w:val="bottom"/>
          </w:tcPr>
          <w:p>
            <w:pPr>
              <w:spacing w:after="0"/>
              <w:rPr>
                <w:sz w:val="21"/>
                <w:szCs w:val="21"/>
                <w:color w:val="auto"/>
              </w:rPr>
            </w:pPr>
          </w:p>
        </w:tc>
        <w:tc>
          <w:tcPr>
            <w:tcW w:w="7900" w:type="dxa"/>
            <w:vAlign w:val="bottom"/>
            <w:gridSpan w:val="15"/>
          </w:tcPr>
          <w:p>
            <w:pPr>
              <w:spacing w:after="0" w:line="243" w:lineRule="exact"/>
              <w:rPr>
                <w:sz w:val="20"/>
                <w:szCs w:val="20"/>
                <w:color w:val="auto"/>
              </w:rPr>
            </w:pPr>
            <w:r>
              <w:rPr>
                <w:rFonts w:ascii="Arial" w:cs="Arial" w:eastAsia="Arial" w:hAnsi="Arial"/>
                <w:sz w:val="22"/>
                <w:szCs w:val="22"/>
                <w:color w:val="auto"/>
              </w:rPr>
              <w:t>XBRL Taxonomy Extension Definition Linkbase Document</w:t>
            </w:r>
          </w:p>
        </w:tc>
        <w:tc>
          <w:tcPr>
            <w:tcW w:w="0" w:type="dxa"/>
            <w:vAlign w:val="bottom"/>
          </w:tcPr>
          <w:p>
            <w:pPr>
              <w:spacing w:after="0"/>
              <w:rPr>
                <w:sz w:val="1"/>
                <w:szCs w:val="1"/>
                <w:color w:val="auto"/>
              </w:rPr>
            </w:pPr>
          </w:p>
        </w:tc>
      </w:tr>
      <w:tr>
        <w:trPr>
          <w:trHeight w:val="243"/>
        </w:trPr>
        <w:tc>
          <w:tcPr>
            <w:tcW w:w="1860" w:type="dxa"/>
            <w:vAlign w:val="bottom"/>
            <w:gridSpan w:val="2"/>
          </w:tcPr>
          <w:p>
            <w:pPr>
              <w:ind w:left="100"/>
              <w:spacing w:after="0" w:line="243" w:lineRule="exact"/>
              <w:rPr>
                <w:sz w:val="20"/>
                <w:szCs w:val="20"/>
                <w:color w:val="auto"/>
              </w:rPr>
            </w:pPr>
            <w:r>
              <w:rPr>
                <w:rFonts w:ascii="Arial" w:cs="Arial" w:eastAsia="Arial" w:hAnsi="Arial"/>
                <w:sz w:val="22"/>
                <w:szCs w:val="22"/>
                <w:color w:val="auto"/>
              </w:rPr>
              <w:t>101.LAB</w:t>
            </w:r>
          </w:p>
        </w:tc>
        <w:tc>
          <w:tcPr>
            <w:tcW w:w="100" w:type="dxa"/>
            <w:vAlign w:val="bottom"/>
          </w:tcPr>
          <w:p>
            <w:pPr>
              <w:spacing w:after="0"/>
              <w:rPr>
                <w:sz w:val="21"/>
                <w:szCs w:val="21"/>
                <w:color w:val="auto"/>
              </w:rPr>
            </w:pPr>
          </w:p>
        </w:tc>
        <w:tc>
          <w:tcPr>
            <w:tcW w:w="7900" w:type="dxa"/>
            <w:vAlign w:val="bottom"/>
            <w:gridSpan w:val="15"/>
          </w:tcPr>
          <w:p>
            <w:pPr>
              <w:spacing w:after="0" w:line="243" w:lineRule="exact"/>
              <w:rPr>
                <w:sz w:val="20"/>
                <w:szCs w:val="20"/>
                <w:color w:val="auto"/>
              </w:rPr>
            </w:pPr>
            <w:r>
              <w:rPr>
                <w:rFonts w:ascii="Arial" w:cs="Arial" w:eastAsia="Arial" w:hAnsi="Arial"/>
                <w:sz w:val="22"/>
                <w:szCs w:val="22"/>
                <w:color w:val="auto"/>
              </w:rPr>
              <w:t>XBRL Taxonomy Extension Label Linkbase Document</w:t>
            </w:r>
          </w:p>
        </w:tc>
        <w:tc>
          <w:tcPr>
            <w:tcW w:w="0" w:type="dxa"/>
            <w:vAlign w:val="bottom"/>
          </w:tcPr>
          <w:p>
            <w:pPr>
              <w:spacing w:after="0"/>
              <w:rPr>
                <w:sz w:val="1"/>
                <w:szCs w:val="1"/>
                <w:color w:val="auto"/>
              </w:rPr>
            </w:pPr>
          </w:p>
        </w:tc>
      </w:tr>
      <w:tr>
        <w:trPr>
          <w:trHeight w:val="275"/>
        </w:trPr>
        <w:tc>
          <w:tcPr>
            <w:tcW w:w="1860" w:type="dxa"/>
            <w:vAlign w:val="bottom"/>
            <w:gridSpan w:val="2"/>
          </w:tcPr>
          <w:p>
            <w:pPr>
              <w:ind w:left="100"/>
              <w:spacing w:after="0"/>
              <w:rPr>
                <w:sz w:val="20"/>
                <w:szCs w:val="20"/>
                <w:color w:val="auto"/>
              </w:rPr>
            </w:pPr>
            <w:r>
              <w:rPr>
                <w:rFonts w:ascii="Arial" w:cs="Arial" w:eastAsia="Arial" w:hAnsi="Arial"/>
                <w:sz w:val="22"/>
                <w:szCs w:val="22"/>
                <w:color w:val="auto"/>
              </w:rPr>
              <w:t>101.PRES</w:t>
            </w:r>
          </w:p>
        </w:tc>
        <w:tc>
          <w:tcPr>
            <w:tcW w:w="100" w:type="dxa"/>
            <w:vAlign w:val="bottom"/>
          </w:tcPr>
          <w:p>
            <w:pPr>
              <w:spacing w:after="0"/>
              <w:rPr>
                <w:sz w:val="23"/>
                <w:szCs w:val="23"/>
                <w:color w:val="auto"/>
              </w:rPr>
            </w:pPr>
          </w:p>
        </w:tc>
        <w:tc>
          <w:tcPr>
            <w:tcW w:w="7900" w:type="dxa"/>
            <w:vAlign w:val="bottom"/>
            <w:gridSpan w:val="15"/>
          </w:tcPr>
          <w:p>
            <w:pPr>
              <w:spacing w:after="0"/>
              <w:rPr>
                <w:sz w:val="20"/>
                <w:szCs w:val="20"/>
                <w:color w:val="auto"/>
              </w:rPr>
            </w:pPr>
            <w:r>
              <w:rPr>
                <w:rFonts w:ascii="Arial" w:cs="Arial" w:eastAsia="Arial" w:hAnsi="Arial"/>
                <w:sz w:val="22"/>
                <w:szCs w:val="22"/>
                <w:color w:val="auto"/>
              </w:rPr>
              <w:t>XBRL Taxonomy Extension Presentation Linkbase Document</w:t>
            </w:r>
          </w:p>
        </w:tc>
        <w:tc>
          <w:tcPr>
            <w:tcW w:w="0" w:type="dxa"/>
            <w:vAlign w:val="bottom"/>
          </w:tcPr>
          <w:p>
            <w:pPr>
              <w:spacing w:after="0"/>
              <w:rPr>
                <w:sz w:val="1"/>
                <w:szCs w:val="1"/>
                <w:color w:val="auto"/>
              </w:rPr>
            </w:pPr>
          </w:p>
        </w:tc>
      </w:tr>
    </w:tbl>
    <w:p>
      <w:pPr>
        <w:spacing w:after="0" w:line="212" w:lineRule="exact"/>
        <w:rPr>
          <w:sz w:val="20"/>
          <w:szCs w:val="20"/>
          <w:color w:val="auto"/>
        </w:rPr>
      </w:pPr>
    </w:p>
    <w:p>
      <w:pPr>
        <w:ind w:left="4840" w:right="3780" w:hanging="4823"/>
        <w:spacing w:after="0" w:line="565" w:lineRule="auto"/>
        <w:rPr>
          <w:sz w:val="20"/>
          <w:szCs w:val="20"/>
          <w:color w:val="auto"/>
        </w:rPr>
      </w:pPr>
      <w:r>
        <w:rPr>
          <w:rFonts w:ascii="Arial" w:cs="Arial" w:eastAsia="Arial" w:hAnsi="Arial"/>
          <w:sz w:val="19"/>
          <w:szCs w:val="19"/>
          <w:color w:val="auto"/>
        </w:rPr>
        <w:t>*Indicates management contract or compensatory plan or arrangement 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-137160</wp:posOffset>
            </wp:positionV>
            <wp:extent cx="6303010" cy="514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5">
                      <a:extLst>
                        <a:ext uri="{28A0092B-C50C-407E-A947-70E740481C1C}"/>
                      </a:extLst>
                    </a:blip>
                    <a:srcRect/>
                    <a:stretch>
                      <a:fillRect/>
                    </a:stretch>
                  </pic:blipFill>
                  <pic:spPr bwMode="auto">
                    <a:xfrm>
                      <a:off x="0" y="0"/>
                      <a:ext cx="6303010" cy="51435"/>
                    </a:xfrm>
                    <a:prstGeom prst="rect">
                      <a:avLst/>
                    </a:prstGeom>
                    <a:noFill/>
                  </pic:spPr>
                </pic:pic>
              </a:graphicData>
            </a:graphic>
          </wp:anchor>
        </w:drawing>
      </w:r>
    </w:p>
    <w:p>
      <w:pPr>
        <w:sectPr>
          <w:pgSz w:w="11900" w:h="16838" w:orient="portrait"/>
          <w:cols w:equalWidth="0" w:num="1">
            <w:col w:w="9880"/>
          </w:cols>
          <w:pgMar w:left="1140" w:top="118" w:right="879" w:bottom="1440" w:gutter="0" w:footer="0" w:header="0"/>
        </w:sectPr>
      </w:pPr>
    </w:p>
    <w:bookmarkStart w:id="42" w:name="page43"/>
    <w:bookmarkEnd w:id="42"/>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59"/>
        <w:spacing w:after="0"/>
        <w:rPr>
          <w:sz w:val="20"/>
          <w:szCs w:val="20"/>
          <w:color w:val="auto"/>
        </w:rPr>
      </w:pPr>
      <w:r>
        <w:rPr>
          <w:rFonts w:ascii="Arial" w:cs="Arial" w:eastAsia="Arial" w:hAnsi="Arial"/>
          <w:sz w:val="22"/>
          <w:szCs w:val="22"/>
          <w:u w:val="single" w:color="auto"/>
          <w:color w:val="auto"/>
        </w:rPr>
        <w:t>SIGNATURES</w:t>
      </w:r>
    </w:p>
    <w:p>
      <w:pPr>
        <w:spacing w:after="0" w:line="112" w:lineRule="exact"/>
        <w:rPr>
          <w:sz w:val="20"/>
          <w:szCs w:val="20"/>
          <w:color w:val="auto"/>
        </w:rPr>
      </w:pPr>
    </w:p>
    <w:p>
      <w:pPr>
        <w:spacing w:after="0" w:line="207" w:lineRule="auto"/>
        <w:rPr>
          <w:sz w:val="20"/>
          <w:szCs w:val="20"/>
          <w:color w:val="auto"/>
        </w:rPr>
      </w:pPr>
      <w:r>
        <w:rPr>
          <w:rFonts w:ascii="Arial" w:cs="Arial" w:eastAsia="Arial" w:hAnsi="Arial"/>
          <w:sz w:val="22"/>
          <w:szCs w:val="22"/>
          <w:color w:val="auto"/>
        </w:rPr>
        <w:t>Pursuant to the requirements of the Securities Exchange Act of 1934, the registrant has duly caused this report to be executed on its behalf by the undersigned thereunto duly authorized.</w:t>
      </w:r>
    </w:p>
    <w:p>
      <w:pPr>
        <w:spacing w:after="0" w:line="50" w:lineRule="exact"/>
        <w:rPr>
          <w:sz w:val="20"/>
          <w:szCs w:val="20"/>
          <w:color w:val="auto"/>
        </w:rPr>
      </w:pPr>
    </w:p>
    <w:p>
      <w:pPr>
        <w:spacing w:after="0"/>
        <w:rPr>
          <w:sz w:val="20"/>
          <w:szCs w:val="20"/>
          <w:color w:val="auto"/>
        </w:rPr>
      </w:pPr>
      <w:r>
        <w:rPr>
          <w:rFonts w:ascii="Arial" w:cs="Arial" w:eastAsia="Arial" w:hAnsi="Arial"/>
          <w:sz w:val="22"/>
          <w:szCs w:val="22"/>
          <w:color w:val="auto"/>
        </w:rPr>
        <w:t>November 6, 2018</w:t>
      </w:r>
    </w:p>
    <w:p>
      <w:pPr>
        <w:spacing w:after="0" w:line="22" w:lineRule="exact"/>
        <w:rPr>
          <w:sz w:val="20"/>
          <w:szCs w:val="20"/>
          <w:color w:val="auto"/>
        </w:rPr>
      </w:pPr>
    </w:p>
    <w:p>
      <w:pPr>
        <w:ind w:left="5680"/>
        <w:spacing w:after="0"/>
        <w:rPr>
          <w:sz w:val="20"/>
          <w:szCs w:val="20"/>
          <w:color w:val="auto"/>
        </w:rPr>
      </w:pPr>
      <w:r>
        <w:rPr>
          <w:rFonts w:ascii="Arial" w:cs="Arial" w:eastAsia="Arial" w:hAnsi="Arial"/>
          <w:sz w:val="22"/>
          <w:szCs w:val="22"/>
          <w:color w:val="auto"/>
        </w:rPr>
        <w:t>Aqua America,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3533140</wp:posOffset>
            </wp:positionH>
            <wp:positionV relativeFrom="paragraph">
              <wp:posOffset>-3175</wp:posOffset>
            </wp:positionV>
            <wp:extent cx="273558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6">
                      <a:extLst>
                        <a:ext uri="{28A0092B-C50C-407E-A947-70E740481C1C}"/>
                      </a:extLst>
                    </a:blip>
                    <a:srcRect/>
                    <a:stretch>
                      <a:fillRect/>
                    </a:stretch>
                  </pic:blipFill>
                  <pic:spPr bwMode="auto">
                    <a:xfrm>
                      <a:off x="0" y="0"/>
                      <a:ext cx="2735580" cy="8890"/>
                    </a:xfrm>
                    <a:prstGeom prst="rect">
                      <a:avLst/>
                    </a:prstGeom>
                    <a:noFill/>
                  </pic:spPr>
                </pic:pic>
              </a:graphicData>
            </a:graphic>
          </wp:anchor>
        </w:drawing>
      </w:r>
    </w:p>
    <w:p>
      <w:pPr>
        <w:ind w:left="5680"/>
        <w:spacing w:after="0"/>
        <w:rPr>
          <w:sz w:val="20"/>
          <w:szCs w:val="20"/>
          <w:color w:val="auto"/>
        </w:rPr>
      </w:pPr>
      <w:r>
        <w:rPr>
          <w:rFonts w:ascii="Arial" w:cs="Arial" w:eastAsia="Arial" w:hAnsi="Arial"/>
          <w:sz w:val="22"/>
          <w:szCs w:val="22"/>
          <w:color w:val="auto"/>
        </w:rPr>
        <w:t>Registrant</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5680"/>
        <w:spacing w:after="0"/>
        <w:rPr>
          <w:sz w:val="20"/>
          <w:szCs w:val="20"/>
          <w:color w:val="auto"/>
        </w:rPr>
      </w:pPr>
      <w:r>
        <w:rPr>
          <w:rFonts w:ascii="Arial" w:cs="Arial" w:eastAsia="Arial" w:hAnsi="Arial"/>
          <w:sz w:val="22"/>
          <w:szCs w:val="22"/>
          <w:color w:val="auto"/>
        </w:rPr>
        <w:t>/s/ Christopher H. Franklin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3533140</wp:posOffset>
            </wp:positionH>
            <wp:positionV relativeFrom="paragraph">
              <wp:posOffset>7620</wp:posOffset>
            </wp:positionV>
            <wp:extent cx="273558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7">
                      <a:extLst>
                        <a:ext uri="{28A0092B-C50C-407E-A947-70E740481C1C}"/>
                      </a:extLst>
                    </a:blip>
                    <a:srcRect/>
                    <a:stretch>
                      <a:fillRect/>
                    </a:stretch>
                  </pic:blipFill>
                  <pic:spPr bwMode="auto">
                    <a:xfrm>
                      <a:off x="0" y="0"/>
                      <a:ext cx="2735580" cy="8890"/>
                    </a:xfrm>
                    <a:prstGeom prst="rect">
                      <a:avLst/>
                    </a:prstGeom>
                    <a:noFill/>
                  </pic:spPr>
                </pic:pic>
              </a:graphicData>
            </a:graphic>
          </wp:anchor>
        </w:drawing>
      </w:r>
    </w:p>
    <w:p>
      <w:pPr>
        <w:ind w:left="5680"/>
        <w:spacing w:after="0"/>
        <w:rPr>
          <w:sz w:val="20"/>
          <w:szCs w:val="20"/>
          <w:color w:val="auto"/>
        </w:rPr>
      </w:pPr>
      <w:r>
        <w:rPr>
          <w:rFonts w:ascii="Arial" w:cs="Arial" w:eastAsia="Arial" w:hAnsi="Arial"/>
          <w:sz w:val="22"/>
          <w:szCs w:val="22"/>
          <w:color w:val="auto"/>
        </w:rPr>
        <w:t>Christopher H. Franklin</w:t>
      </w:r>
    </w:p>
    <w:p>
      <w:pPr>
        <w:ind w:left="5680"/>
        <w:spacing w:after="0" w:line="230" w:lineRule="auto"/>
        <w:rPr>
          <w:sz w:val="20"/>
          <w:szCs w:val="20"/>
          <w:color w:val="auto"/>
        </w:rPr>
      </w:pPr>
      <w:r>
        <w:rPr>
          <w:rFonts w:ascii="Arial" w:cs="Arial" w:eastAsia="Arial" w:hAnsi="Arial"/>
          <w:sz w:val="22"/>
          <w:szCs w:val="22"/>
          <w:color w:val="auto"/>
        </w:rPr>
        <w:t>Chairman, President and</w:t>
      </w:r>
    </w:p>
    <w:p>
      <w:pPr>
        <w:spacing w:after="0" w:line="1" w:lineRule="exact"/>
        <w:rPr>
          <w:sz w:val="20"/>
          <w:szCs w:val="20"/>
          <w:color w:val="auto"/>
        </w:rPr>
      </w:pPr>
    </w:p>
    <w:p>
      <w:pPr>
        <w:ind w:left="5680"/>
        <w:spacing w:after="0"/>
        <w:rPr>
          <w:sz w:val="20"/>
          <w:szCs w:val="20"/>
          <w:color w:val="auto"/>
        </w:rPr>
      </w:pPr>
      <w:r>
        <w:rPr>
          <w:rFonts w:ascii="Arial" w:cs="Arial" w:eastAsia="Arial" w:hAnsi="Arial"/>
          <w:sz w:val="22"/>
          <w:szCs w:val="22"/>
          <w:color w:val="auto"/>
        </w:rPr>
        <w:t>Chief Executive Officer</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5680"/>
        <w:spacing w:after="0"/>
        <w:rPr>
          <w:sz w:val="20"/>
          <w:szCs w:val="20"/>
          <w:color w:val="auto"/>
        </w:rPr>
      </w:pPr>
      <w:r>
        <w:rPr>
          <w:rFonts w:ascii="Arial" w:cs="Arial" w:eastAsia="Arial" w:hAnsi="Arial"/>
          <w:sz w:val="22"/>
          <w:szCs w:val="22"/>
          <w:color w:val="auto"/>
        </w:rPr>
        <w:t>/s/ Daniel J. Schuller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3533140</wp:posOffset>
            </wp:positionH>
            <wp:positionV relativeFrom="paragraph">
              <wp:posOffset>7620</wp:posOffset>
            </wp:positionV>
            <wp:extent cx="273558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8">
                      <a:extLst>
                        <a:ext uri="{28A0092B-C50C-407E-A947-70E740481C1C}"/>
                      </a:extLst>
                    </a:blip>
                    <a:srcRect/>
                    <a:stretch>
                      <a:fillRect/>
                    </a:stretch>
                  </pic:blipFill>
                  <pic:spPr bwMode="auto">
                    <a:xfrm>
                      <a:off x="0" y="0"/>
                      <a:ext cx="2735580" cy="8890"/>
                    </a:xfrm>
                    <a:prstGeom prst="rect">
                      <a:avLst/>
                    </a:prstGeom>
                    <a:noFill/>
                  </pic:spPr>
                </pic:pic>
              </a:graphicData>
            </a:graphic>
          </wp:anchor>
        </w:drawing>
      </w:r>
    </w:p>
    <w:p>
      <w:pPr>
        <w:ind w:left="5680"/>
        <w:spacing w:after="0"/>
        <w:rPr>
          <w:sz w:val="20"/>
          <w:szCs w:val="20"/>
          <w:color w:val="auto"/>
        </w:rPr>
      </w:pPr>
      <w:r>
        <w:rPr>
          <w:rFonts w:ascii="Arial" w:cs="Arial" w:eastAsia="Arial" w:hAnsi="Arial"/>
          <w:sz w:val="22"/>
          <w:szCs w:val="22"/>
          <w:color w:val="auto"/>
        </w:rPr>
        <w:t>Daniel J. Schuller</w:t>
      </w:r>
    </w:p>
    <w:p>
      <w:pPr>
        <w:ind w:left="5680"/>
        <w:spacing w:after="0" w:line="230" w:lineRule="auto"/>
        <w:rPr>
          <w:sz w:val="20"/>
          <w:szCs w:val="20"/>
          <w:color w:val="auto"/>
        </w:rPr>
      </w:pPr>
      <w:r>
        <w:rPr>
          <w:rFonts w:ascii="Arial" w:cs="Arial" w:eastAsia="Arial" w:hAnsi="Arial"/>
          <w:sz w:val="22"/>
          <w:szCs w:val="22"/>
          <w:color w:val="auto"/>
        </w:rPr>
        <w:t>Executive Vice President and</w:t>
      </w:r>
    </w:p>
    <w:p>
      <w:pPr>
        <w:spacing w:after="0" w:line="1" w:lineRule="exact"/>
        <w:rPr>
          <w:sz w:val="20"/>
          <w:szCs w:val="20"/>
          <w:color w:val="auto"/>
        </w:rPr>
      </w:pPr>
    </w:p>
    <w:p>
      <w:pPr>
        <w:ind w:left="5680"/>
        <w:spacing w:after="0"/>
        <w:rPr>
          <w:sz w:val="20"/>
          <w:szCs w:val="20"/>
          <w:color w:val="auto"/>
        </w:rPr>
      </w:pPr>
      <w:r>
        <w:rPr>
          <w:rFonts w:ascii="Arial" w:cs="Arial" w:eastAsia="Arial" w:hAnsi="Arial"/>
          <w:sz w:val="22"/>
          <w:szCs w:val="22"/>
          <w:color w:val="auto"/>
        </w:rPr>
        <w:t>Chief Financial Officer</w:t>
      </w:r>
    </w:p>
    <w:p>
      <w:pPr>
        <w:spacing w:after="0" w:line="350" w:lineRule="exact"/>
        <w:rPr>
          <w:sz w:val="20"/>
          <w:szCs w:val="20"/>
          <w:color w:val="auto"/>
        </w:rPr>
      </w:pPr>
    </w:p>
    <w:p>
      <w:pPr>
        <w:jc w:val="center"/>
        <w:ind w:right="-119"/>
        <w:spacing w:after="0"/>
        <w:rPr>
          <w:sz w:val="20"/>
          <w:szCs w:val="20"/>
          <w:color w:val="auto"/>
        </w:rPr>
      </w:pPr>
      <w:r>
        <w:rPr>
          <w:rFonts w:ascii="Arial" w:cs="Arial" w:eastAsia="Arial" w:hAnsi="Arial"/>
          <w:sz w:val="22"/>
          <w:szCs w:val="22"/>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63500</wp:posOffset>
            </wp:positionV>
            <wp:extent cx="6303010" cy="514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9">
                      <a:extLst>
                        <a:ext uri="{28A0092B-C50C-407E-A947-70E740481C1C}"/>
                      </a:extLst>
                    </a:blip>
                    <a:srcRect/>
                    <a:stretch>
                      <a:fillRect/>
                    </a:stretch>
                  </pic:blipFill>
                  <pic:spPr bwMode="auto">
                    <a:xfrm>
                      <a:off x="0" y="0"/>
                      <a:ext cx="6303010" cy="51435"/>
                    </a:xfrm>
                    <a:prstGeom prst="rect">
                      <a:avLst/>
                    </a:prstGeom>
                    <a:noFill/>
                  </pic:spPr>
                </pic:pic>
              </a:graphicData>
            </a:graphic>
          </wp:anchor>
        </w:drawing>
      </w:r>
    </w:p>
    <w:p>
      <w:pPr>
        <w:sectPr>
          <w:pgSz w:w="11900" w:h="16838" w:orient="portrait"/>
          <w:cols w:equalWidth="0" w:num="1">
            <w:col w:w="9760"/>
          </w:cols>
          <w:pgMar w:left="1140" w:top="118" w:right="999" w:bottom="1440" w:gutter="0" w:footer="0" w:header="0"/>
        </w:sectPr>
      </w:pPr>
    </w:p>
    <w:bookmarkStart w:id="43" w:name="page44"/>
    <w:bookmarkEnd w:id="43"/>
    <w:p>
      <w:pPr>
        <w:jc w:val="right"/>
        <w:spacing w:after="0"/>
        <w:rPr>
          <w:sz w:val="20"/>
          <w:szCs w:val="20"/>
          <w:color w:val="auto"/>
        </w:rPr>
      </w:pPr>
      <w:r>
        <w:rPr>
          <w:rFonts w:ascii="Arial" w:cs="Arial" w:eastAsia="Arial" w:hAnsi="Arial"/>
          <w:sz w:val="20"/>
          <w:szCs w:val="20"/>
          <w:color w:val="auto"/>
        </w:rPr>
        <w:t>Exhibit 31.1</w:t>
      </w:r>
    </w:p>
    <w:p>
      <w:pPr>
        <w:spacing w:after="0" w:line="122" w:lineRule="exact"/>
        <w:rPr>
          <w:sz w:val="20"/>
          <w:szCs w:val="20"/>
          <w:color w:val="auto"/>
        </w:rPr>
      </w:pPr>
    </w:p>
    <w:p>
      <w:pPr>
        <w:ind w:left="204"/>
        <w:spacing w:after="0"/>
        <w:rPr>
          <w:sz w:val="20"/>
          <w:szCs w:val="20"/>
          <w:color w:val="auto"/>
        </w:rPr>
      </w:pPr>
      <w:r>
        <w:rPr>
          <w:rFonts w:ascii="Arial" w:cs="Arial" w:eastAsia="Arial" w:hAnsi="Arial"/>
          <w:sz w:val="19"/>
          <w:szCs w:val="19"/>
          <w:color w:val="auto"/>
        </w:rPr>
        <w:t>CERTIFICATION OF CHIEF EXECUTIVE OFFICER, PURSUANT TO RULE 13A-14(A) UNDER THE SECURITIES</w:t>
      </w:r>
    </w:p>
    <w:p>
      <w:pPr>
        <w:jc w:val="center"/>
        <w:ind w:right="-3"/>
        <w:spacing w:after="0"/>
        <w:rPr>
          <w:sz w:val="20"/>
          <w:szCs w:val="20"/>
          <w:color w:val="auto"/>
        </w:rPr>
      </w:pPr>
      <w:r>
        <w:rPr>
          <w:rFonts w:ascii="Arial" w:cs="Arial" w:eastAsia="Arial" w:hAnsi="Arial"/>
          <w:sz w:val="20"/>
          <w:szCs w:val="20"/>
          <w:color w:val="auto"/>
        </w:rPr>
        <w:t>AND EXCHANGE ACT OF 1934</w:t>
      </w:r>
    </w:p>
    <w:p>
      <w:pPr>
        <w:spacing w:after="0" w:line="132" w:lineRule="exact"/>
        <w:rPr>
          <w:sz w:val="20"/>
          <w:szCs w:val="20"/>
          <w:color w:val="auto"/>
        </w:rPr>
      </w:pPr>
    </w:p>
    <w:p>
      <w:pPr>
        <w:ind w:left="4"/>
        <w:spacing w:after="0"/>
        <w:rPr>
          <w:sz w:val="20"/>
          <w:szCs w:val="20"/>
          <w:color w:val="auto"/>
        </w:rPr>
      </w:pPr>
      <w:r>
        <w:rPr>
          <w:rFonts w:ascii="Arial" w:cs="Arial" w:eastAsia="Arial" w:hAnsi="Arial"/>
          <w:sz w:val="20"/>
          <w:szCs w:val="20"/>
          <w:color w:val="auto"/>
        </w:rPr>
        <w:t>I, Christopher H. Franklin, certify that:</w:t>
      </w:r>
    </w:p>
    <w:p>
      <w:pPr>
        <w:spacing w:after="0" w:line="123" w:lineRule="exact"/>
        <w:rPr>
          <w:sz w:val="20"/>
          <w:szCs w:val="20"/>
          <w:color w:val="auto"/>
        </w:rPr>
      </w:pPr>
    </w:p>
    <w:p>
      <w:pPr>
        <w:ind w:left="324" w:hanging="324"/>
        <w:spacing w:after="0"/>
        <w:tabs>
          <w:tab w:leader="none" w:pos="324" w:val="left"/>
        </w:tabs>
        <w:numPr>
          <w:ilvl w:val="0"/>
          <w:numId w:val="14"/>
        </w:numPr>
        <w:rPr>
          <w:rFonts w:ascii="Arial" w:cs="Arial" w:eastAsia="Arial" w:hAnsi="Arial"/>
          <w:sz w:val="20"/>
          <w:szCs w:val="20"/>
          <w:color w:val="auto"/>
        </w:rPr>
      </w:pPr>
      <w:r>
        <w:rPr>
          <w:rFonts w:ascii="Arial" w:cs="Arial" w:eastAsia="Arial" w:hAnsi="Arial"/>
          <w:sz w:val="20"/>
          <w:szCs w:val="20"/>
          <w:color w:val="auto"/>
        </w:rPr>
        <w:t>I have reviewed this quarterly report on Form 10-Q of Aqua America, Inc.;</w:t>
      </w:r>
    </w:p>
    <w:p>
      <w:pPr>
        <w:ind w:left="324" w:right="20" w:hanging="324"/>
        <w:spacing w:after="0" w:line="197" w:lineRule="auto"/>
        <w:tabs>
          <w:tab w:leader="none" w:pos="324" w:val="left"/>
        </w:tabs>
        <w:numPr>
          <w:ilvl w:val="0"/>
          <w:numId w:val="14"/>
        </w:numPr>
        <w:rPr>
          <w:rFonts w:ascii="Arial" w:cs="Arial" w:eastAsia="Arial" w:hAnsi="Arial"/>
          <w:sz w:val="20"/>
          <w:szCs w:val="20"/>
          <w:color w:val="auto"/>
        </w:rPr>
      </w:pPr>
      <w:r>
        <w:rPr>
          <w:rFonts w:ascii="Arial" w:cs="Arial" w:eastAsia="Arial" w:hAnsi="Arial"/>
          <w:sz w:val="20"/>
          <w:szCs w:val="20"/>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324" w:right="40" w:hanging="324"/>
        <w:spacing w:after="0" w:line="197" w:lineRule="auto"/>
        <w:tabs>
          <w:tab w:leader="none" w:pos="324" w:val="left"/>
        </w:tabs>
        <w:numPr>
          <w:ilvl w:val="0"/>
          <w:numId w:val="14"/>
        </w:numPr>
        <w:rPr>
          <w:rFonts w:ascii="Arial" w:cs="Arial" w:eastAsia="Arial" w:hAnsi="Arial"/>
          <w:sz w:val="20"/>
          <w:szCs w:val="20"/>
          <w:color w:val="auto"/>
        </w:rPr>
      </w:pPr>
      <w:r>
        <w:rPr>
          <w:rFonts w:ascii="Arial" w:cs="Arial" w:eastAsia="Arial" w:hAnsi="Arial"/>
          <w:sz w:val="20"/>
          <w:szCs w:val="20"/>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ind w:left="324" w:right="240" w:hanging="324"/>
        <w:spacing w:after="0" w:line="207" w:lineRule="auto"/>
        <w:tabs>
          <w:tab w:leader="none" w:pos="324" w:val="left"/>
        </w:tabs>
        <w:numPr>
          <w:ilvl w:val="0"/>
          <w:numId w:val="14"/>
        </w:numPr>
        <w:rPr>
          <w:rFonts w:ascii="Arial" w:cs="Arial" w:eastAsia="Arial" w:hAnsi="Arial"/>
          <w:sz w:val="19"/>
          <w:szCs w:val="19"/>
          <w:color w:val="auto"/>
        </w:rPr>
      </w:pPr>
      <w:r>
        <w:rPr>
          <w:rFonts w:ascii="Arial" w:cs="Arial" w:eastAsia="Arial" w:hAnsi="Arial"/>
          <w:sz w:val="19"/>
          <w:szCs w:val="19"/>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 w:lineRule="exact"/>
        <w:rPr>
          <w:rFonts w:ascii="Arial" w:cs="Arial" w:eastAsia="Arial" w:hAnsi="Arial"/>
          <w:sz w:val="19"/>
          <w:szCs w:val="19"/>
          <w:color w:val="auto"/>
        </w:rPr>
      </w:pPr>
    </w:p>
    <w:p>
      <w:pPr>
        <w:ind w:left="644" w:right="140" w:hanging="320"/>
        <w:spacing w:after="0" w:line="197" w:lineRule="auto"/>
        <w:tabs>
          <w:tab w:leader="none" w:pos="644" w:val="left"/>
        </w:tabs>
        <w:numPr>
          <w:ilvl w:val="1"/>
          <w:numId w:val="14"/>
        </w:numPr>
        <w:rPr>
          <w:rFonts w:ascii="Arial" w:cs="Arial" w:eastAsia="Arial" w:hAnsi="Arial"/>
          <w:sz w:val="20"/>
          <w:szCs w:val="20"/>
          <w:color w:val="auto"/>
        </w:rPr>
      </w:pPr>
      <w:r>
        <w:rPr>
          <w:rFonts w:ascii="Arial" w:cs="Arial" w:eastAsia="Arial" w:hAnsi="Arial"/>
          <w:sz w:val="20"/>
          <w:szCs w:val="20"/>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 w:lineRule="exact"/>
        <w:rPr>
          <w:rFonts w:ascii="Arial" w:cs="Arial" w:eastAsia="Arial" w:hAnsi="Arial"/>
          <w:sz w:val="20"/>
          <w:szCs w:val="20"/>
          <w:color w:val="auto"/>
        </w:rPr>
      </w:pPr>
    </w:p>
    <w:p>
      <w:pPr>
        <w:ind w:left="644" w:right="40" w:hanging="320"/>
        <w:spacing w:after="0" w:line="246" w:lineRule="auto"/>
        <w:tabs>
          <w:tab w:leader="none" w:pos="644" w:val="left"/>
        </w:tabs>
        <w:numPr>
          <w:ilvl w:val="1"/>
          <w:numId w:val="14"/>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 w:lineRule="exact"/>
        <w:rPr>
          <w:rFonts w:ascii="Arial" w:cs="Arial" w:eastAsia="Arial" w:hAnsi="Arial"/>
          <w:sz w:val="16"/>
          <w:szCs w:val="16"/>
          <w:color w:val="auto"/>
        </w:rPr>
      </w:pPr>
    </w:p>
    <w:p>
      <w:pPr>
        <w:ind w:left="644" w:right="240" w:hanging="320"/>
        <w:spacing w:after="0" w:line="197" w:lineRule="auto"/>
        <w:tabs>
          <w:tab w:leader="none" w:pos="644" w:val="left"/>
        </w:tabs>
        <w:numPr>
          <w:ilvl w:val="1"/>
          <w:numId w:val="14"/>
        </w:numPr>
        <w:rPr>
          <w:rFonts w:ascii="Arial" w:cs="Arial" w:eastAsia="Arial" w:hAnsi="Arial"/>
          <w:sz w:val="20"/>
          <w:szCs w:val="20"/>
          <w:color w:val="auto"/>
        </w:rPr>
      </w:pPr>
      <w:r>
        <w:rPr>
          <w:rFonts w:ascii="Arial" w:cs="Arial" w:eastAsia="Arial" w:hAnsi="Arial"/>
          <w:sz w:val="20"/>
          <w:szCs w:val="20"/>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644" w:right="20" w:hanging="320"/>
        <w:spacing w:after="0" w:line="197" w:lineRule="auto"/>
        <w:tabs>
          <w:tab w:leader="none" w:pos="644" w:val="left"/>
        </w:tabs>
        <w:numPr>
          <w:ilvl w:val="1"/>
          <w:numId w:val="14"/>
        </w:numPr>
        <w:rPr>
          <w:rFonts w:ascii="Arial" w:cs="Arial" w:eastAsia="Arial" w:hAnsi="Arial"/>
          <w:sz w:val="20"/>
          <w:szCs w:val="20"/>
          <w:color w:val="auto"/>
        </w:rPr>
      </w:pPr>
      <w:r>
        <w:rPr>
          <w:rFonts w:ascii="Arial" w:cs="Arial" w:eastAsia="Arial" w:hAnsi="Arial"/>
          <w:sz w:val="20"/>
          <w:szCs w:val="20"/>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 w:lineRule="exact"/>
        <w:rPr>
          <w:rFonts w:ascii="Arial" w:cs="Arial" w:eastAsia="Arial" w:hAnsi="Arial"/>
          <w:sz w:val="20"/>
          <w:szCs w:val="20"/>
          <w:color w:val="auto"/>
        </w:rPr>
      </w:pPr>
    </w:p>
    <w:p>
      <w:pPr>
        <w:ind w:left="324" w:right="180" w:hanging="324"/>
        <w:spacing w:after="0" w:line="197" w:lineRule="auto"/>
        <w:tabs>
          <w:tab w:leader="none" w:pos="324" w:val="left"/>
        </w:tabs>
        <w:numPr>
          <w:ilvl w:val="0"/>
          <w:numId w:val="14"/>
        </w:numPr>
        <w:rPr>
          <w:rFonts w:ascii="Arial" w:cs="Arial" w:eastAsia="Arial" w:hAnsi="Arial"/>
          <w:sz w:val="20"/>
          <w:szCs w:val="20"/>
          <w:color w:val="auto"/>
        </w:rPr>
      </w:pPr>
      <w:r>
        <w:rPr>
          <w:rFonts w:ascii="Arial" w:cs="Arial" w:eastAsia="Arial" w:hAnsi="Arial"/>
          <w:sz w:val="20"/>
          <w:szCs w:val="20"/>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ind w:left="644" w:right="440" w:hanging="320"/>
        <w:spacing w:after="0" w:line="197" w:lineRule="auto"/>
        <w:tabs>
          <w:tab w:leader="none" w:pos="644" w:val="left"/>
        </w:tabs>
        <w:numPr>
          <w:ilvl w:val="1"/>
          <w:numId w:val="14"/>
        </w:numPr>
        <w:rPr>
          <w:rFonts w:ascii="Arial" w:cs="Arial" w:eastAsia="Arial" w:hAnsi="Arial"/>
          <w:sz w:val="20"/>
          <w:szCs w:val="20"/>
          <w:color w:val="auto"/>
        </w:rPr>
      </w:pPr>
      <w:r>
        <w:rPr>
          <w:rFonts w:ascii="Arial" w:cs="Arial" w:eastAsia="Arial" w:hAnsi="Arial"/>
          <w:sz w:val="20"/>
          <w:szCs w:val="20"/>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644" w:right="220" w:hanging="320"/>
        <w:spacing w:after="0" w:line="220" w:lineRule="auto"/>
        <w:tabs>
          <w:tab w:leader="none" w:pos="644" w:val="left"/>
        </w:tabs>
        <w:numPr>
          <w:ilvl w:val="1"/>
          <w:numId w:val="14"/>
        </w:numPr>
        <w:rPr>
          <w:rFonts w:ascii="Arial" w:cs="Arial" w:eastAsia="Arial" w:hAnsi="Arial"/>
          <w:sz w:val="20"/>
          <w:szCs w:val="20"/>
          <w:color w:val="auto"/>
        </w:rPr>
      </w:pPr>
      <w:r>
        <w:rPr>
          <w:rFonts w:ascii="Arial" w:cs="Arial" w:eastAsia="Arial" w:hAnsi="Arial"/>
          <w:sz w:val="20"/>
          <w:szCs w:val="20"/>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124"/>
        <w:spacing w:after="0"/>
        <w:rPr>
          <w:sz w:val="20"/>
          <w:szCs w:val="20"/>
          <w:color w:val="auto"/>
        </w:rPr>
      </w:pPr>
      <w:r>
        <w:rPr>
          <w:rFonts w:ascii="Arial" w:cs="Arial" w:eastAsia="Arial" w:hAnsi="Arial"/>
          <w:sz w:val="22"/>
          <w:szCs w:val="22"/>
          <w:color w:val="auto"/>
        </w:rPr>
        <w:t>/s/ Christopher H. Franklin</w:t>
      </w:r>
    </w:p>
    <w:p>
      <w:pPr>
        <w:ind w:left="124"/>
        <w:spacing w:after="0" w:line="187" w:lineRule="auto"/>
        <w:rPr>
          <w:sz w:val="20"/>
          <w:szCs w:val="20"/>
          <w:color w:val="auto"/>
        </w:rPr>
      </w:pPr>
      <w:r>
        <w:rPr>
          <w:rFonts w:ascii="Arial" w:cs="Arial" w:eastAsia="Arial" w:hAnsi="Arial"/>
          <w:sz w:val="18"/>
          <w:szCs w:val="18"/>
          <w:color w:val="auto"/>
        </w:rPr>
        <w:t>Christopher H. Franklin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-82550</wp:posOffset>
            </wp:positionV>
            <wp:extent cx="308737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0">
                      <a:extLst>
                        <a:ext uri="{28A0092B-C50C-407E-A947-70E740481C1C}"/>
                      </a:extLst>
                    </a:blip>
                    <a:srcRect/>
                    <a:stretch>
                      <a:fillRect/>
                    </a:stretch>
                  </pic:blipFill>
                  <pic:spPr bwMode="auto">
                    <a:xfrm>
                      <a:off x="0" y="0"/>
                      <a:ext cx="3087370" cy="8890"/>
                    </a:xfrm>
                    <a:prstGeom prst="rect">
                      <a:avLst/>
                    </a:prstGeom>
                    <a:noFill/>
                  </pic:spPr>
                </pic:pic>
              </a:graphicData>
            </a:graphic>
          </wp:anchor>
        </w:drawing>
      </w:r>
    </w:p>
    <w:p>
      <w:pPr>
        <w:ind w:left="124"/>
        <w:spacing w:after="0" w:line="188" w:lineRule="auto"/>
        <w:rPr>
          <w:sz w:val="20"/>
          <w:szCs w:val="20"/>
          <w:color w:val="auto"/>
        </w:rPr>
      </w:pPr>
      <w:r>
        <w:rPr>
          <w:rFonts w:ascii="Arial" w:cs="Arial" w:eastAsia="Arial" w:hAnsi="Arial"/>
          <w:sz w:val="18"/>
          <w:szCs w:val="18"/>
          <w:color w:val="auto"/>
        </w:rPr>
        <w:t>President and Chief Executive Officer</w:t>
      </w:r>
    </w:p>
    <w:p>
      <w:pPr>
        <w:spacing w:after="0" w:line="1" w:lineRule="exact"/>
        <w:rPr>
          <w:sz w:val="20"/>
          <w:szCs w:val="20"/>
          <w:color w:val="auto"/>
        </w:rPr>
      </w:pPr>
    </w:p>
    <w:p>
      <w:pPr>
        <w:ind w:left="124"/>
        <w:spacing w:after="0"/>
        <w:rPr>
          <w:sz w:val="20"/>
          <w:szCs w:val="20"/>
          <w:color w:val="auto"/>
        </w:rPr>
      </w:pPr>
      <w:r>
        <w:rPr>
          <w:rFonts w:ascii="Arial" w:cs="Arial" w:eastAsia="Arial" w:hAnsi="Arial"/>
          <w:sz w:val="22"/>
          <w:szCs w:val="22"/>
          <w:color w:val="auto"/>
        </w:rPr>
        <w:t>November 6,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231775</wp:posOffset>
            </wp:positionV>
            <wp:extent cx="6465570" cy="514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1">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064"/>
          </w:cols>
          <w:pgMar w:left="896" w:top="82" w:right="939" w:bottom="1440" w:gutter="0" w:footer="0" w:header="0"/>
        </w:sectPr>
      </w:pPr>
    </w:p>
    <w:bookmarkStart w:id="44" w:name="page45"/>
    <w:bookmarkEnd w:id="44"/>
    <w:p>
      <w:pPr>
        <w:jc w:val="right"/>
        <w:spacing w:after="0"/>
        <w:rPr>
          <w:sz w:val="20"/>
          <w:szCs w:val="20"/>
          <w:color w:val="auto"/>
        </w:rPr>
      </w:pPr>
      <w:r>
        <w:rPr>
          <w:rFonts w:ascii="Arial" w:cs="Arial" w:eastAsia="Arial" w:hAnsi="Arial"/>
          <w:sz w:val="20"/>
          <w:szCs w:val="20"/>
          <w:color w:val="auto"/>
        </w:rPr>
        <w:t>Exhibit 31.2</w:t>
      </w:r>
    </w:p>
    <w:p>
      <w:pPr>
        <w:spacing w:after="0" w:line="136" w:lineRule="exact"/>
        <w:rPr>
          <w:sz w:val="20"/>
          <w:szCs w:val="20"/>
          <w:color w:val="auto"/>
        </w:rPr>
      </w:pPr>
    </w:p>
    <w:p>
      <w:pPr>
        <w:ind w:left="224"/>
        <w:spacing w:after="0"/>
        <w:rPr>
          <w:sz w:val="20"/>
          <w:szCs w:val="20"/>
          <w:color w:val="auto"/>
        </w:rPr>
      </w:pPr>
      <w:r>
        <w:rPr>
          <w:rFonts w:ascii="Arial" w:cs="Arial" w:eastAsia="Arial" w:hAnsi="Arial"/>
          <w:sz w:val="19"/>
          <w:szCs w:val="19"/>
          <w:color w:val="auto"/>
        </w:rPr>
        <w:t>CERTIFICATION OF CHIEF FINANCIAL OFFICER, PURSUANT TO RULE 13A-14(A) UNDER THE SECURITIES</w:t>
      </w:r>
    </w:p>
    <w:p>
      <w:pPr>
        <w:jc w:val="center"/>
        <w:ind w:right="96"/>
        <w:spacing w:after="0"/>
        <w:rPr>
          <w:sz w:val="20"/>
          <w:szCs w:val="20"/>
          <w:color w:val="auto"/>
        </w:rPr>
      </w:pPr>
      <w:r>
        <w:rPr>
          <w:rFonts w:ascii="Arial" w:cs="Arial" w:eastAsia="Arial" w:hAnsi="Arial"/>
          <w:sz w:val="20"/>
          <w:szCs w:val="20"/>
          <w:color w:val="auto"/>
        </w:rPr>
        <w:t>AND EXCHANGE ACT OF 1934</w:t>
      </w:r>
    </w:p>
    <w:p>
      <w:pPr>
        <w:spacing w:after="0" w:line="132" w:lineRule="exact"/>
        <w:rPr>
          <w:sz w:val="20"/>
          <w:szCs w:val="20"/>
          <w:color w:val="auto"/>
        </w:rPr>
      </w:pPr>
    </w:p>
    <w:p>
      <w:pPr>
        <w:ind w:left="4"/>
        <w:spacing w:after="0"/>
        <w:rPr>
          <w:sz w:val="20"/>
          <w:szCs w:val="20"/>
          <w:color w:val="auto"/>
        </w:rPr>
      </w:pPr>
      <w:r>
        <w:rPr>
          <w:rFonts w:ascii="Arial" w:cs="Arial" w:eastAsia="Arial" w:hAnsi="Arial"/>
          <w:sz w:val="20"/>
          <w:szCs w:val="20"/>
          <w:color w:val="auto"/>
        </w:rPr>
        <w:t>I, Daniel J. Schuller, certify that:</w:t>
      </w:r>
    </w:p>
    <w:p>
      <w:pPr>
        <w:spacing w:after="0" w:line="123" w:lineRule="exact"/>
        <w:rPr>
          <w:sz w:val="20"/>
          <w:szCs w:val="20"/>
          <w:color w:val="auto"/>
        </w:rPr>
      </w:pPr>
    </w:p>
    <w:p>
      <w:pPr>
        <w:ind w:left="324" w:hanging="324"/>
        <w:spacing w:after="0"/>
        <w:tabs>
          <w:tab w:leader="none" w:pos="324" w:val="left"/>
        </w:tabs>
        <w:numPr>
          <w:ilvl w:val="0"/>
          <w:numId w:val="15"/>
        </w:numPr>
        <w:rPr>
          <w:rFonts w:ascii="Arial" w:cs="Arial" w:eastAsia="Arial" w:hAnsi="Arial"/>
          <w:sz w:val="20"/>
          <w:szCs w:val="20"/>
          <w:color w:val="auto"/>
        </w:rPr>
      </w:pPr>
      <w:r>
        <w:rPr>
          <w:rFonts w:ascii="Arial" w:cs="Arial" w:eastAsia="Arial" w:hAnsi="Arial"/>
          <w:sz w:val="20"/>
          <w:szCs w:val="20"/>
          <w:color w:val="auto"/>
        </w:rPr>
        <w:t>I have reviewed this quarterly report on Form 10-Q of Aqua America, Inc.;</w:t>
      </w:r>
    </w:p>
    <w:p>
      <w:pPr>
        <w:ind w:left="324" w:right="80" w:hanging="324"/>
        <w:spacing w:after="0" w:line="197" w:lineRule="auto"/>
        <w:tabs>
          <w:tab w:leader="none" w:pos="324" w:val="left"/>
        </w:tabs>
        <w:numPr>
          <w:ilvl w:val="0"/>
          <w:numId w:val="15"/>
        </w:numPr>
        <w:rPr>
          <w:rFonts w:ascii="Arial" w:cs="Arial" w:eastAsia="Arial" w:hAnsi="Arial"/>
          <w:sz w:val="20"/>
          <w:szCs w:val="20"/>
          <w:color w:val="auto"/>
        </w:rPr>
      </w:pPr>
      <w:r>
        <w:rPr>
          <w:rFonts w:ascii="Arial" w:cs="Arial" w:eastAsia="Arial" w:hAnsi="Arial"/>
          <w:sz w:val="20"/>
          <w:szCs w:val="20"/>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324" w:right="100" w:hanging="324"/>
        <w:spacing w:after="0" w:line="197" w:lineRule="auto"/>
        <w:tabs>
          <w:tab w:leader="none" w:pos="324" w:val="left"/>
        </w:tabs>
        <w:numPr>
          <w:ilvl w:val="0"/>
          <w:numId w:val="15"/>
        </w:numPr>
        <w:rPr>
          <w:rFonts w:ascii="Arial" w:cs="Arial" w:eastAsia="Arial" w:hAnsi="Arial"/>
          <w:sz w:val="20"/>
          <w:szCs w:val="20"/>
          <w:color w:val="auto"/>
        </w:rPr>
      </w:pPr>
      <w:r>
        <w:rPr>
          <w:rFonts w:ascii="Arial" w:cs="Arial" w:eastAsia="Arial" w:hAnsi="Arial"/>
          <w:sz w:val="20"/>
          <w:szCs w:val="20"/>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ind w:left="324" w:right="300" w:hanging="324"/>
        <w:spacing w:after="0" w:line="207" w:lineRule="auto"/>
        <w:tabs>
          <w:tab w:leader="none" w:pos="324" w:val="left"/>
        </w:tabs>
        <w:numPr>
          <w:ilvl w:val="0"/>
          <w:numId w:val="15"/>
        </w:numPr>
        <w:rPr>
          <w:rFonts w:ascii="Arial" w:cs="Arial" w:eastAsia="Arial" w:hAnsi="Arial"/>
          <w:sz w:val="19"/>
          <w:szCs w:val="19"/>
          <w:color w:val="auto"/>
        </w:rPr>
      </w:pPr>
      <w:r>
        <w:rPr>
          <w:rFonts w:ascii="Arial" w:cs="Arial" w:eastAsia="Arial" w:hAnsi="Arial"/>
          <w:sz w:val="19"/>
          <w:szCs w:val="19"/>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 w:lineRule="exact"/>
        <w:rPr>
          <w:rFonts w:ascii="Arial" w:cs="Arial" w:eastAsia="Arial" w:hAnsi="Arial"/>
          <w:sz w:val="19"/>
          <w:szCs w:val="19"/>
          <w:color w:val="auto"/>
        </w:rPr>
      </w:pPr>
    </w:p>
    <w:p>
      <w:pPr>
        <w:ind w:left="644" w:right="200" w:hanging="320"/>
        <w:spacing w:after="0" w:line="197" w:lineRule="auto"/>
        <w:tabs>
          <w:tab w:leader="none" w:pos="644" w:val="left"/>
        </w:tabs>
        <w:numPr>
          <w:ilvl w:val="1"/>
          <w:numId w:val="15"/>
        </w:numPr>
        <w:rPr>
          <w:rFonts w:ascii="Arial" w:cs="Arial" w:eastAsia="Arial" w:hAnsi="Arial"/>
          <w:sz w:val="20"/>
          <w:szCs w:val="20"/>
          <w:color w:val="auto"/>
        </w:rPr>
      </w:pPr>
      <w:r>
        <w:rPr>
          <w:rFonts w:ascii="Arial" w:cs="Arial" w:eastAsia="Arial" w:hAnsi="Arial"/>
          <w:sz w:val="20"/>
          <w:szCs w:val="20"/>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 w:lineRule="exact"/>
        <w:rPr>
          <w:rFonts w:ascii="Arial" w:cs="Arial" w:eastAsia="Arial" w:hAnsi="Arial"/>
          <w:sz w:val="20"/>
          <w:szCs w:val="20"/>
          <w:color w:val="auto"/>
        </w:rPr>
      </w:pPr>
    </w:p>
    <w:p>
      <w:pPr>
        <w:ind w:left="644" w:right="100" w:hanging="320"/>
        <w:spacing w:after="0" w:line="246" w:lineRule="auto"/>
        <w:tabs>
          <w:tab w:leader="none" w:pos="644" w:val="left"/>
        </w:tabs>
        <w:numPr>
          <w:ilvl w:val="1"/>
          <w:numId w:val="15"/>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 w:lineRule="exact"/>
        <w:rPr>
          <w:rFonts w:ascii="Arial" w:cs="Arial" w:eastAsia="Arial" w:hAnsi="Arial"/>
          <w:sz w:val="16"/>
          <w:szCs w:val="16"/>
          <w:color w:val="auto"/>
        </w:rPr>
      </w:pPr>
    </w:p>
    <w:p>
      <w:pPr>
        <w:ind w:left="644" w:right="300" w:hanging="320"/>
        <w:spacing w:after="0" w:line="197" w:lineRule="auto"/>
        <w:tabs>
          <w:tab w:leader="none" w:pos="644" w:val="left"/>
        </w:tabs>
        <w:numPr>
          <w:ilvl w:val="1"/>
          <w:numId w:val="15"/>
        </w:numPr>
        <w:rPr>
          <w:rFonts w:ascii="Arial" w:cs="Arial" w:eastAsia="Arial" w:hAnsi="Arial"/>
          <w:sz w:val="20"/>
          <w:szCs w:val="20"/>
          <w:color w:val="auto"/>
        </w:rPr>
      </w:pPr>
      <w:r>
        <w:rPr>
          <w:rFonts w:ascii="Arial" w:cs="Arial" w:eastAsia="Arial" w:hAnsi="Arial"/>
          <w:sz w:val="20"/>
          <w:szCs w:val="20"/>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644" w:right="80" w:hanging="320"/>
        <w:spacing w:after="0" w:line="197" w:lineRule="auto"/>
        <w:tabs>
          <w:tab w:leader="none" w:pos="644" w:val="left"/>
        </w:tabs>
        <w:numPr>
          <w:ilvl w:val="1"/>
          <w:numId w:val="15"/>
        </w:numPr>
        <w:rPr>
          <w:rFonts w:ascii="Arial" w:cs="Arial" w:eastAsia="Arial" w:hAnsi="Arial"/>
          <w:sz w:val="20"/>
          <w:szCs w:val="20"/>
          <w:color w:val="auto"/>
        </w:rPr>
      </w:pPr>
      <w:r>
        <w:rPr>
          <w:rFonts w:ascii="Arial" w:cs="Arial" w:eastAsia="Arial" w:hAnsi="Arial"/>
          <w:sz w:val="20"/>
          <w:szCs w:val="20"/>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 w:lineRule="exact"/>
        <w:rPr>
          <w:rFonts w:ascii="Arial" w:cs="Arial" w:eastAsia="Arial" w:hAnsi="Arial"/>
          <w:sz w:val="20"/>
          <w:szCs w:val="20"/>
          <w:color w:val="auto"/>
        </w:rPr>
      </w:pPr>
    </w:p>
    <w:p>
      <w:pPr>
        <w:ind w:left="324" w:right="240" w:hanging="324"/>
        <w:spacing w:after="0" w:line="197" w:lineRule="auto"/>
        <w:tabs>
          <w:tab w:leader="none" w:pos="324" w:val="left"/>
        </w:tabs>
        <w:numPr>
          <w:ilvl w:val="0"/>
          <w:numId w:val="15"/>
        </w:numPr>
        <w:rPr>
          <w:rFonts w:ascii="Arial" w:cs="Arial" w:eastAsia="Arial" w:hAnsi="Arial"/>
          <w:sz w:val="20"/>
          <w:szCs w:val="20"/>
          <w:color w:val="auto"/>
        </w:rPr>
      </w:pPr>
      <w:r>
        <w:rPr>
          <w:rFonts w:ascii="Arial" w:cs="Arial" w:eastAsia="Arial" w:hAnsi="Arial"/>
          <w:sz w:val="20"/>
          <w:szCs w:val="20"/>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ind w:left="644" w:right="500" w:hanging="320"/>
        <w:spacing w:after="0" w:line="197" w:lineRule="auto"/>
        <w:tabs>
          <w:tab w:leader="none" w:pos="644" w:val="left"/>
        </w:tabs>
        <w:numPr>
          <w:ilvl w:val="1"/>
          <w:numId w:val="15"/>
        </w:numPr>
        <w:rPr>
          <w:rFonts w:ascii="Arial" w:cs="Arial" w:eastAsia="Arial" w:hAnsi="Arial"/>
          <w:sz w:val="20"/>
          <w:szCs w:val="20"/>
          <w:color w:val="auto"/>
        </w:rPr>
      </w:pPr>
      <w:r>
        <w:rPr>
          <w:rFonts w:ascii="Arial" w:cs="Arial" w:eastAsia="Arial" w:hAnsi="Arial"/>
          <w:sz w:val="20"/>
          <w:szCs w:val="20"/>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644" w:right="280" w:hanging="320"/>
        <w:spacing w:after="0" w:line="220" w:lineRule="auto"/>
        <w:tabs>
          <w:tab w:leader="none" w:pos="644" w:val="left"/>
        </w:tabs>
        <w:numPr>
          <w:ilvl w:val="1"/>
          <w:numId w:val="15"/>
        </w:numPr>
        <w:rPr>
          <w:rFonts w:ascii="Arial" w:cs="Arial" w:eastAsia="Arial" w:hAnsi="Arial"/>
          <w:sz w:val="20"/>
          <w:szCs w:val="20"/>
          <w:color w:val="auto"/>
        </w:rPr>
      </w:pPr>
      <w:r>
        <w:rPr>
          <w:rFonts w:ascii="Arial" w:cs="Arial" w:eastAsia="Arial" w:hAnsi="Arial"/>
          <w:sz w:val="20"/>
          <w:szCs w:val="20"/>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124"/>
        <w:spacing w:after="0"/>
        <w:rPr>
          <w:sz w:val="20"/>
          <w:szCs w:val="20"/>
          <w:color w:val="auto"/>
        </w:rPr>
      </w:pPr>
      <w:r>
        <w:rPr>
          <w:rFonts w:ascii="Arial" w:cs="Arial" w:eastAsia="Arial" w:hAnsi="Arial"/>
          <w:sz w:val="22"/>
          <w:szCs w:val="22"/>
          <w:color w:val="auto"/>
        </w:rPr>
        <w:t>/s/ Daniel J. Schuller</w:t>
      </w:r>
    </w:p>
    <w:p>
      <w:pPr>
        <w:ind w:left="124"/>
        <w:spacing w:after="0" w:line="187" w:lineRule="auto"/>
        <w:rPr>
          <w:sz w:val="20"/>
          <w:szCs w:val="20"/>
          <w:color w:val="auto"/>
        </w:rPr>
      </w:pPr>
      <w:r>
        <w:rPr>
          <w:rFonts w:ascii="Arial" w:cs="Arial" w:eastAsia="Arial" w:hAnsi="Arial"/>
          <w:sz w:val="21"/>
          <w:szCs w:val="21"/>
          <w:color w:val="auto"/>
        </w:rPr>
        <w:t>Daniel J. Schuller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-99695</wp:posOffset>
            </wp:positionV>
            <wp:extent cx="3310255"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2">
                      <a:extLst>
                        <a:ext uri="{28A0092B-C50C-407E-A947-70E740481C1C}"/>
                      </a:extLst>
                    </a:blip>
                    <a:srcRect/>
                    <a:stretch>
                      <a:fillRect/>
                    </a:stretch>
                  </pic:blipFill>
                  <pic:spPr bwMode="auto">
                    <a:xfrm>
                      <a:off x="0" y="0"/>
                      <a:ext cx="3310255" cy="8890"/>
                    </a:xfrm>
                    <a:prstGeom prst="rect">
                      <a:avLst/>
                    </a:prstGeom>
                    <a:noFill/>
                  </pic:spPr>
                </pic:pic>
              </a:graphicData>
            </a:graphic>
          </wp:anchor>
        </w:drawing>
      </w:r>
    </w:p>
    <w:p>
      <w:pPr>
        <w:ind w:left="124"/>
        <w:spacing w:after="0" w:line="205" w:lineRule="auto"/>
        <w:rPr>
          <w:sz w:val="20"/>
          <w:szCs w:val="20"/>
          <w:color w:val="auto"/>
        </w:rPr>
      </w:pPr>
      <w:r>
        <w:rPr>
          <w:rFonts w:ascii="Arial" w:cs="Arial" w:eastAsia="Arial" w:hAnsi="Arial"/>
          <w:sz w:val="22"/>
          <w:szCs w:val="22"/>
          <w:color w:val="auto"/>
        </w:rPr>
        <w:t>Executive Vice President and Chief Financial Officer</w:t>
      </w:r>
    </w:p>
    <w:p>
      <w:pPr>
        <w:spacing w:after="0" w:line="1" w:lineRule="exact"/>
        <w:rPr>
          <w:sz w:val="20"/>
          <w:szCs w:val="20"/>
          <w:color w:val="auto"/>
        </w:rPr>
      </w:pPr>
    </w:p>
    <w:p>
      <w:pPr>
        <w:ind w:left="124"/>
        <w:spacing w:after="0"/>
        <w:rPr>
          <w:sz w:val="20"/>
          <w:szCs w:val="20"/>
          <w:color w:val="auto"/>
        </w:rPr>
      </w:pPr>
      <w:r>
        <w:rPr>
          <w:rFonts w:ascii="Arial" w:cs="Arial" w:eastAsia="Arial" w:hAnsi="Arial"/>
          <w:sz w:val="22"/>
          <w:szCs w:val="22"/>
          <w:color w:val="auto"/>
        </w:rPr>
        <w:t>November 6,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248920</wp:posOffset>
            </wp:positionV>
            <wp:extent cx="6465570" cy="514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3">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24"/>
          </w:cols>
          <w:pgMar w:left="896" w:top="108" w:right="879" w:bottom="1440" w:gutter="0" w:footer="0" w:header="0"/>
        </w:sectPr>
      </w:pPr>
    </w:p>
    <w:bookmarkStart w:id="45" w:name="page46"/>
    <w:bookmarkEnd w:id="45"/>
    <w:p>
      <w:pPr>
        <w:jc w:val="right"/>
        <w:spacing w:after="0"/>
        <w:rPr>
          <w:sz w:val="20"/>
          <w:szCs w:val="20"/>
          <w:color w:val="auto"/>
        </w:rPr>
      </w:pPr>
      <w:r>
        <w:rPr>
          <w:rFonts w:ascii="Arial" w:cs="Arial" w:eastAsia="Arial" w:hAnsi="Arial"/>
          <w:sz w:val="22"/>
          <w:szCs w:val="22"/>
          <w:color w:val="auto"/>
        </w:rPr>
        <w:t>Exhibit 32.1</w:t>
      </w:r>
    </w:p>
    <w:p>
      <w:pPr>
        <w:spacing w:after="0" w:line="322" w:lineRule="exact"/>
        <w:rPr>
          <w:sz w:val="20"/>
          <w:szCs w:val="20"/>
          <w:color w:val="auto"/>
        </w:rPr>
      </w:pPr>
    </w:p>
    <w:p>
      <w:pPr>
        <w:jc w:val="center"/>
        <w:ind w:right="-3"/>
        <w:spacing w:after="0"/>
        <w:rPr>
          <w:sz w:val="20"/>
          <w:szCs w:val="20"/>
          <w:color w:val="auto"/>
        </w:rPr>
      </w:pPr>
      <w:r>
        <w:rPr>
          <w:rFonts w:ascii="Arial" w:cs="Arial" w:eastAsia="Arial" w:hAnsi="Arial"/>
          <w:sz w:val="22"/>
          <w:szCs w:val="22"/>
          <w:color w:val="auto"/>
        </w:rPr>
        <w:t>CERTIFICATION OF CHIEF EXECUTIVE OFFICER PURSUANT TO</w:t>
      </w:r>
    </w:p>
    <w:p>
      <w:pPr>
        <w:jc w:val="center"/>
        <w:ind w:right="-3"/>
        <w:spacing w:after="0"/>
        <w:rPr>
          <w:sz w:val="20"/>
          <w:szCs w:val="20"/>
          <w:color w:val="auto"/>
        </w:rPr>
      </w:pPr>
      <w:r>
        <w:rPr>
          <w:rFonts w:ascii="Arial" w:cs="Arial" w:eastAsia="Arial" w:hAnsi="Arial"/>
          <w:sz w:val="22"/>
          <w:szCs w:val="22"/>
          <w:color w:val="auto"/>
        </w:rPr>
        <w:t>18 U.S.C. SECTION 1350</w:t>
      </w:r>
    </w:p>
    <w:p>
      <w:pPr>
        <w:spacing w:after="0" w:line="200" w:lineRule="exact"/>
        <w:rPr>
          <w:sz w:val="20"/>
          <w:szCs w:val="20"/>
          <w:color w:val="auto"/>
        </w:rPr>
      </w:pPr>
    </w:p>
    <w:p>
      <w:pPr>
        <w:spacing w:after="0" w:line="339" w:lineRule="exact"/>
        <w:rPr>
          <w:sz w:val="20"/>
          <w:szCs w:val="20"/>
          <w:color w:val="auto"/>
        </w:rPr>
      </w:pPr>
    </w:p>
    <w:p>
      <w:pPr>
        <w:ind w:left="4" w:right="120"/>
        <w:spacing w:after="0" w:line="208" w:lineRule="auto"/>
        <w:rPr>
          <w:sz w:val="20"/>
          <w:szCs w:val="20"/>
          <w:color w:val="auto"/>
        </w:rPr>
      </w:pPr>
      <w:r>
        <w:rPr>
          <w:rFonts w:ascii="Arial" w:cs="Arial" w:eastAsia="Arial" w:hAnsi="Arial"/>
          <w:sz w:val="19"/>
          <w:szCs w:val="19"/>
          <w:color w:val="auto"/>
        </w:rPr>
        <w:t>In connection with the Quarterly Report on Form 10-Q for the period ended September 30, 2018 of Aqua America, Inc. (the “Company”) as filed with the Securities and Exchange Commission on the date hereof (the “Report”), I, Christopher H. Franklin, President and Chief Executive Officer of the Company, certify, pursuant to 18 U.S.C. Section 1350, as adopted pursuant to Section 906 of the Sarbanes-Oxley Act of 2002, that, to my knowledge:</w:t>
      </w:r>
    </w:p>
    <w:p>
      <w:pPr>
        <w:spacing w:after="0" w:line="215" w:lineRule="exact"/>
        <w:rPr>
          <w:sz w:val="20"/>
          <w:szCs w:val="20"/>
          <w:color w:val="auto"/>
        </w:rPr>
      </w:pPr>
    </w:p>
    <w:p>
      <w:pPr>
        <w:ind w:left="324" w:right="400" w:hanging="324"/>
        <w:spacing w:after="0" w:line="207" w:lineRule="auto"/>
        <w:tabs>
          <w:tab w:leader="none" w:pos="324" w:val="left"/>
        </w:tabs>
        <w:numPr>
          <w:ilvl w:val="0"/>
          <w:numId w:val="16"/>
        </w:numPr>
        <w:rPr>
          <w:rFonts w:ascii="Arial" w:cs="Arial" w:eastAsia="Arial" w:hAnsi="Arial"/>
          <w:sz w:val="22"/>
          <w:szCs w:val="22"/>
          <w:color w:val="auto"/>
        </w:rPr>
      </w:pPr>
      <w:r>
        <w:rPr>
          <w:rFonts w:ascii="Arial" w:cs="Arial" w:eastAsia="Arial" w:hAnsi="Arial"/>
          <w:sz w:val="22"/>
          <w:szCs w:val="22"/>
          <w:color w:val="auto"/>
        </w:rPr>
        <w:t>The Report fully complies with the requirements of section 13(a) or 15(d) of the Securities Exchange Act of 1934 (15 U.S.C. Section 78m or Section 78o(d)); and</w:t>
      </w:r>
    </w:p>
    <w:p>
      <w:pPr>
        <w:spacing w:after="0" w:line="49" w:lineRule="exact"/>
        <w:rPr>
          <w:rFonts w:ascii="Arial" w:cs="Arial" w:eastAsia="Arial" w:hAnsi="Arial"/>
          <w:sz w:val="22"/>
          <w:szCs w:val="22"/>
          <w:color w:val="auto"/>
        </w:rPr>
      </w:pPr>
    </w:p>
    <w:p>
      <w:pPr>
        <w:ind w:left="324" w:right="500" w:hanging="324"/>
        <w:spacing w:after="0" w:line="207" w:lineRule="auto"/>
        <w:tabs>
          <w:tab w:leader="none" w:pos="324" w:val="left"/>
        </w:tabs>
        <w:numPr>
          <w:ilvl w:val="0"/>
          <w:numId w:val="16"/>
        </w:numPr>
        <w:rPr>
          <w:rFonts w:ascii="Arial" w:cs="Arial" w:eastAsia="Arial" w:hAnsi="Arial"/>
          <w:sz w:val="22"/>
          <w:szCs w:val="22"/>
          <w:color w:val="auto"/>
        </w:rPr>
      </w:pPr>
      <w:r>
        <w:rPr>
          <w:rFonts w:ascii="Arial" w:cs="Arial" w:eastAsia="Arial" w:hAnsi="Arial"/>
          <w:sz w:val="22"/>
          <w:szCs w:val="22"/>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90" w:lineRule="exact"/>
        <w:rPr>
          <w:sz w:val="20"/>
          <w:szCs w:val="20"/>
          <w:color w:val="auto"/>
        </w:rPr>
      </w:pPr>
    </w:p>
    <w:p>
      <w:pPr>
        <w:ind w:left="124"/>
        <w:spacing w:after="0"/>
        <w:rPr>
          <w:sz w:val="20"/>
          <w:szCs w:val="20"/>
          <w:color w:val="auto"/>
        </w:rPr>
      </w:pPr>
      <w:r>
        <w:rPr>
          <w:rFonts w:ascii="Arial" w:cs="Arial" w:eastAsia="Arial" w:hAnsi="Arial"/>
          <w:sz w:val="22"/>
          <w:szCs w:val="22"/>
          <w:color w:val="auto"/>
        </w:rPr>
        <w:t>/s/ Christopher H. Franklin</w:t>
      </w:r>
    </w:p>
    <w:p>
      <w:pPr>
        <w:ind w:left="124"/>
        <w:spacing w:after="0" w:line="187" w:lineRule="auto"/>
        <w:rPr>
          <w:sz w:val="20"/>
          <w:szCs w:val="20"/>
          <w:color w:val="auto"/>
        </w:rPr>
      </w:pPr>
      <w:r>
        <w:rPr>
          <w:rFonts w:ascii="Arial" w:cs="Arial" w:eastAsia="Arial" w:hAnsi="Arial"/>
          <w:sz w:val="18"/>
          <w:szCs w:val="18"/>
          <w:color w:val="auto"/>
        </w:rPr>
        <w:t>Christopher H. Franklin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-82550</wp:posOffset>
            </wp:positionV>
            <wp:extent cx="2958465"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4">
                      <a:extLst>
                        <a:ext uri="{28A0092B-C50C-407E-A947-70E740481C1C}"/>
                      </a:extLst>
                    </a:blip>
                    <a:srcRect/>
                    <a:stretch>
                      <a:fillRect/>
                    </a:stretch>
                  </pic:blipFill>
                  <pic:spPr bwMode="auto">
                    <a:xfrm>
                      <a:off x="0" y="0"/>
                      <a:ext cx="2958465" cy="8890"/>
                    </a:xfrm>
                    <a:prstGeom prst="rect">
                      <a:avLst/>
                    </a:prstGeom>
                    <a:noFill/>
                  </pic:spPr>
                </pic:pic>
              </a:graphicData>
            </a:graphic>
          </wp:anchor>
        </w:drawing>
      </w:r>
    </w:p>
    <w:p>
      <w:pPr>
        <w:ind w:left="124"/>
        <w:spacing w:after="0" w:line="188" w:lineRule="auto"/>
        <w:rPr>
          <w:sz w:val="20"/>
          <w:szCs w:val="20"/>
          <w:color w:val="auto"/>
        </w:rPr>
      </w:pPr>
      <w:r>
        <w:rPr>
          <w:rFonts w:ascii="Arial" w:cs="Arial" w:eastAsia="Arial" w:hAnsi="Arial"/>
          <w:sz w:val="18"/>
          <w:szCs w:val="18"/>
          <w:color w:val="auto"/>
        </w:rPr>
        <w:t>President and Chief Executive Officer</w:t>
      </w:r>
    </w:p>
    <w:p>
      <w:pPr>
        <w:spacing w:after="0" w:line="1" w:lineRule="exact"/>
        <w:rPr>
          <w:sz w:val="20"/>
          <w:szCs w:val="20"/>
          <w:color w:val="auto"/>
        </w:rPr>
      </w:pPr>
    </w:p>
    <w:p>
      <w:pPr>
        <w:ind w:left="124"/>
        <w:spacing w:after="0"/>
        <w:rPr>
          <w:sz w:val="20"/>
          <w:szCs w:val="20"/>
          <w:color w:val="auto"/>
        </w:rPr>
      </w:pPr>
      <w:r>
        <w:rPr>
          <w:rFonts w:ascii="Arial" w:cs="Arial" w:eastAsia="Arial" w:hAnsi="Arial"/>
          <w:sz w:val="22"/>
          <w:szCs w:val="22"/>
          <w:color w:val="auto"/>
        </w:rPr>
        <w:t>November 6,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231775</wp:posOffset>
            </wp:positionV>
            <wp:extent cx="6465570" cy="514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5">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064"/>
          </w:cols>
          <w:pgMar w:left="896" w:top="78" w:right="939" w:bottom="1440" w:gutter="0" w:footer="0" w:header="0"/>
        </w:sectPr>
      </w:pPr>
    </w:p>
    <w:bookmarkStart w:id="46" w:name="page47"/>
    <w:bookmarkEnd w:id="46"/>
    <w:p>
      <w:pPr>
        <w:jc w:val="right"/>
        <w:spacing w:after="0"/>
        <w:rPr>
          <w:sz w:val="20"/>
          <w:szCs w:val="20"/>
          <w:color w:val="auto"/>
        </w:rPr>
      </w:pPr>
      <w:r>
        <w:rPr>
          <w:rFonts w:ascii="Arial" w:cs="Arial" w:eastAsia="Arial" w:hAnsi="Arial"/>
          <w:sz w:val="22"/>
          <w:szCs w:val="22"/>
          <w:color w:val="auto"/>
        </w:rPr>
        <w:t>Exhibit 32.2</w:t>
      </w:r>
    </w:p>
    <w:p>
      <w:pPr>
        <w:spacing w:after="0" w:line="322" w:lineRule="exact"/>
        <w:rPr>
          <w:sz w:val="20"/>
          <w:szCs w:val="20"/>
          <w:color w:val="auto"/>
        </w:rPr>
      </w:pPr>
    </w:p>
    <w:p>
      <w:pPr>
        <w:jc w:val="center"/>
        <w:ind w:right="-3"/>
        <w:spacing w:after="0"/>
        <w:rPr>
          <w:sz w:val="20"/>
          <w:szCs w:val="20"/>
          <w:color w:val="auto"/>
        </w:rPr>
      </w:pPr>
      <w:r>
        <w:rPr>
          <w:rFonts w:ascii="Arial" w:cs="Arial" w:eastAsia="Arial" w:hAnsi="Arial"/>
          <w:sz w:val="22"/>
          <w:szCs w:val="22"/>
          <w:color w:val="auto"/>
        </w:rPr>
        <w:t>CERTIFICATION OF CHIEF FINANCIAL OFFICER PURSUANT TO</w:t>
      </w:r>
    </w:p>
    <w:p>
      <w:pPr>
        <w:jc w:val="center"/>
        <w:ind w:right="-3"/>
        <w:spacing w:after="0"/>
        <w:rPr>
          <w:sz w:val="20"/>
          <w:szCs w:val="20"/>
          <w:color w:val="auto"/>
        </w:rPr>
      </w:pPr>
      <w:r>
        <w:rPr>
          <w:rFonts w:ascii="Arial" w:cs="Arial" w:eastAsia="Arial" w:hAnsi="Arial"/>
          <w:sz w:val="22"/>
          <w:szCs w:val="22"/>
          <w:color w:val="auto"/>
        </w:rPr>
        <w:t>18 U.S.C. SECTION 1350</w:t>
      </w:r>
    </w:p>
    <w:p>
      <w:pPr>
        <w:spacing w:after="0" w:line="200" w:lineRule="exact"/>
        <w:rPr>
          <w:sz w:val="20"/>
          <w:szCs w:val="20"/>
          <w:color w:val="auto"/>
        </w:rPr>
      </w:pPr>
    </w:p>
    <w:p>
      <w:pPr>
        <w:spacing w:after="0" w:line="339" w:lineRule="exact"/>
        <w:rPr>
          <w:sz w:val="20"/>
          <w:szCs w:val="20"/>
          <w:color w:val="auto"/>
        </w:rPr>
      </w:pPr>
    </w:p>
    <w:p>
      <w:pPr>
        <w:ind w:left="4" w:right="120"/>
        <w:spacing w:after="0" w:line="208" w:lineRule="auto"/>
        <w:rPr>
          <w:sz w:val="20"/>
          <w:szCs w:val="20"/>
          <w:color w:val="auto"/>
        </w:rPr>
      </w:pPr>
      <w:r>
        <w:rPr>
          <w:rFonts w:ascii="Arial" w:cs="Arial" w:eastAsia="Arial" w:hAnsi="Arial"/>
          <w:sz w:val="19"/>
          <w:szCs w:val="19"/>
          <w:color w:val="auto"/>
        </w:rPr>
        <w:t>In connection with the Quarterly Report on Form 10-Q for the period ended September 30, 2018 of Aqua America, Inc. (the “Company”) as filed with the Securities and Exchange Commission on the date hereof (the “Report”), I, Daniel J. Schuller, Chief Financial Officer of the Company, certify, pursuant to 18 U.S.C. Section 1350, as adopted pursuant to Section 906 of the Sarbanes-Oxley Act of 2002, that, to my knowledge:</w:t>
      </w:r>
    </w:p>
    <w:p>
      <w:pPr>
        <w:spacing w:after="0" w:line="215" w:lineRule="exact"/>
        <w:rPr>
          <w:sz w:val="20"/>
          <w:szCs w:val="20"/>
          <w:color w:val="auto"/>
        </w:rPr>
      </w:pPr>
    </w:p>
    <w:p>
      <w:pPr>
        <w:ind w:left="324" w:right="400" w:hanging="324"/>
        <w:spacing w:after="0" w:line="207" w:lineRule="auto"/>
        <w:tabs>
          <w:tab w:leader="none" w:pos="324" w:val="left"/>
        </w:tabs>
        <w:numPr>
          <w:ilvl w:val="0"/>
          <w:numId w:val="17"/>
        </w:numPr>
        <w:rPr>
          <w:rFonts w:ascii="Arial" w:cs="Arial" w:eastAsia="Arial" w:hAnsi="Arial"/>
          <w:sz w:val="22"/>
          <w:szCs w:val="22"/>
          <w:color w:val="auto"/>
        </w:rPr>
      </w:pPr>
      <w:r>
        <w:rPr>
          <w:rFonts w:ascii="Arial" w:cs="Arial" w:eastAsia="Arial" w:hAnsi="Arial"/>
          <w:sz w:val="22"/>
          <w:szCs w:val="22"/>
          <w:color w:val="auto"/>
        </w:rPr>
        <w:t>The Report fully complies with the requirements of section 13(a) or 15(d) of the Securities Exchange Act of 1934 (15 U.S.C. Section 78m or Section 78o(d)); and</w:t>
      </w:r>
    </w:p>
    <w:p>
      <w:pPr>
        <w:spacing w:after="0" w:line="49" w:lineRule="exact"/>
        <w:rPr>
          <w:rFonts w:ascii="Arial" w:cs="Arial" w:eastAsia="Arial" w:hAnsi="Arial"/>
          <w:sz w:val="22"/>
          <w:szCs w:val="22"/>
          <w:color w:val="auto"/>
        </w:rPr>
      </w:pPr>
    </w:p>
    <w:p>
      <w:pPr>
        <w:ind w:left="324" w:right="500" w:hanging="324"/>
        <w:spacing w:after="0" w:line="207" w:lineRule="auto"/>
        <w:tabs>
          <w:tab w:leader="none" w:pos="324" w:val="left"/>
        </w:tabs>
        <w:numPr>
          <w:ilvl w:val="0"/>
          <w:numId w:val="17"/>
        </w:numPr>
        <w:rPr>
          <w:rFonts w:ascii="Arial" w:cs="Arial" w:eastAsia="Arial" w:hAnsi="Arial"/>
          <w:sz w:val="22"/>
          <w:szCs w:val="22"/>
          <w:color w:val="auto"/>
        </w:rPr>
      </w:pPr>
      <w:r>
        <w:rPr>
          <w:rFonts w:ascii="Arial" w:cs="Arial" w:eastAsia="Arial" w:hAnsi="Arial"/>
          <w:sz w:val="22"/>
          <w:szCs w:val="22"/>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90" w:lineRule="exact"/>
        <w:rPr>
          <w:sz w:val="20"/>
          <w:szCs w:val="20"/>
          <w:color w:val="auto"/>
        </w:rPr>
      </w:pPr>
    </w:p>
    <w:p>
      <w:pPr>
        <w:ind w:left="124"/>
        <w:spacing w:after="0"/>
        <w:rPr>
          <w:sz w:val="20"/>
          <w:szCs w:val="20"/>
          <w:color w:val="auto"/>
        </w:rPr>
      </w:pPr>
      <w:r>
        <w:rPr>
          <w:rFonts w:ascii="Arial" w:cs="Arial" w:eastAsia="Arial" w:hAnsi="Arial"/>
          <w:sz w:val="22"/>
          <w:szCs w:val="22"/>
          <w:color w:val="auto"/>
        </w:rPr>
        <w:t>/s/ Daniel J. Schuller</w:t>
      </w:r>
    </w:p>
    <w:p>
      <w:pPr>
        <w:ind w:left="124"/>
        <w:spacing w:after="0" w:line="187" w:lineRule="auto"/>
        <w:rPr>
          <w:sz w:val="20"/>
          <w:szCs w:val="20"/>
          <w:color w:val="auto"/>
        </w:rPr>
      </w:pPr>
      <w:r>
        <w:rPr>
          <w:rFonts w:ascii="Arial" w:cs="Arial" w:eastAsia="Arial" w:hAnsi="Arial"/>
          <w:sz w:val="21"/>
          <w:szCs w:val="21"/>
          <w:color w:val="auto"/>
        </w:rPr>
        <w:t>Daniel J. Schuller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-99695</wp:posOffset>
            </wp:positionV>
            <wp:extent cx="3413125"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6">
                      <a:extLst>
                        <a:ext uri="{28A0092B-C50C-407E-A947-70E740481C1C}"/>
                      </a:extLst>
                    </a:blip>
                    <a:srcRect/>
                    <a:stretch>
                      <a:fillRect/>
                    </a:stretch>
                  </pic:blipFill>
                  <pic:spPr bwMode="auto">
                    <a:xfrm>
                      <a:off x="0" y="0"/>
                      <a:ext cx="3413125" cy="8890"/>
                    </a:xfrm>
                    <a:prstGeom prst="rect">
                      <a:avLst/>
                    </a:prstGeom>
                    <a:noFill/>
                  </pic:spPr>
                </pic:pic>
              </a:graphicData>
            </a:graphic>
          </wp:anchor>
        </w:drawing>
      </w:r>
    </w:p>
    <w:p>
      <w:pPr>
        <w:ind w:left="124"/>
        <w:spacing w:after="0" w:line="205" w:lineRule="auto"/>
        <w:rPr>
          <w:sz w:val="20"/>
          <w:szCs w:val="20"/>
          <w:color w:val="auto"/>
        </w:rPr>
      </w:pPr>
      <w:r>
        <w:rPr>
          <w:rFonts w:ascii="Arial" w:cs="Arial" w:eastAsia="Arial" w:hAnsi="Arial"/>
          <w:sz w:val="22"/>
          <w:szCs w:val="22"/>
          <w:color w:val="auto"/>
        </w:rPr>
        <w:t>Executive Vice President and Chief Financial Officer</w:t>
      </w:r>
    </w:p>
    <w:p>
      <w:pPr>
        <w:spacing w:after="0" w:line="1" w:lineRule="exact"/>
        <w:rPr>
          <w:sz w:val="20"/>
          <w:szCs w:val="20"/>
          <w:color w:val="auto"/>
        </w:rPr>
      </w:pPr>
    </w:p>
    <w:p>
      <w:pPr>
        <w:ind w:left="124"/>
        <w:spacing w:after="0"/>
        <w:rPr>
          <w:sz w:val="20"/>
          <w:szCs w:val="20"/>
          <w:color w:val="auto"/>
        </w:rPr>
      </w:pPr>
      <w:r>
        <w:rPr>
          <w:rFonts w:ascii="Arial" w:cs="Arial" w:eastAsia="Arial" w:hAnsi="Arial"/>
          <w:sz w:val="22"/>
          <w:szCs w:val="22"/>
          <w:color w:val="auto"/>
        </w:rPr>
        <w:t>November 6,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248920</wp:posOffset>
            </wp:positionV>
            <wp:extent cx="6465570" cy="514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7">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sectPr>
      <w:pgSz w:w="11900" w:h="16838" w:orient="portrait"/>
      <w:cols w:equalWidth="0" w:num="1">
        <w:col w:w="10064"/>
      </w:cols>
      <w:pgMar w:left="896" w:top="78" w:right="9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BD062C2"/>
    <w:multiLevelType w:val="hybridMultilevel"/>
    <w:lvl w:ilvl="0">
      <w:lvlJc w:val="left"/>
      <w:lvlText w:val="☒"/>
      <w:numFmt w:val="bullet"/>
      <w:start w:val="1"/>
    </w:lvl>
  </w:abstractNum>
  <w:abstractNum w:abstractNumId="1">
    <w:nsid w:val="12200854"/>
    <w:multiLevelType w:val="hybridMultilevel"/>
    <w:lvl w:ilvl="0">
      <w:lvlJc w:val="left"/>
      <w:lvlText w:val="☐"/>
      <w:numFmt w:val="bullet"/>
      <w:start w:val="1"/>
    </w:lvl>
  </w:abstractNum>
  <w:abstractNum w:abstractNumId="2">
    <w:nsid w:val="4DB127F8"/>
    <w:multiLevelType w:val="hybridMultilevel"/>
    <w:lvl w:ilvl="0">
      <w:lvlJc w:val="left"/>
      <w:lvlText w:val="·"/>
      <w:numFmt w:val="bullet"/>
      <w:start w:val="1"/>
    </w:lvl>
  </w:abstractNum>
  <w:abstractNum w:abstractNumId="3">
    <w:nsid w:val="216231B"/>
    <w:multiLevelType w:val="hybridMultilevel"/>
    <w:lvl w:ilvl="0">
      <w:lvlJc w:val="left"/>
      <w:lvlText w:val="·"/>
      <w:numFmt w:val="bullet"/>
      <w:start w:val="1"/>
    </w:lvl>
  </w:abstractNum>
  <w:abstractNum w:abstractNumId="4">
    <w:nsid w:val="1F16E9E8"/>
    <w:multiLevelType w:val="hybridMultilevel"/>
    <w:lvl w:ilvl="0">
      <w:lvlJc w:val="left"/>
      <w:lvlText w:val="·"/>
      <w:numFmt w:val="bullet"/>
      <w:start w:val="1"/>
    </w:lvl>
  </w:abstractNum>
  <w:abstractNum w:abstractNumId="5">
    <w:nsid w:val="1190CDE7"/>
    <w:multiLevelType w:val="hybridMultilevel"/>
    <w:lvl w:ilvl="0">
      <w:lvlJc w:val="left"/>
      <w:lvlText w:val="·"/>
      <w:numFmt w:val="bullet"/>
      <w:start w:val="1"/>
    </w:lvl>
  </w:abstractNum>
  <w:abstractNum w:abstractNumId="6">
    <w:nsid w:val="66EF438D"/>
    <w:multiLevelType w:val="hybridMultilevel"/>
    <w:lvl w:ilvl="0">
      <w:lvlJc w:val="left"/>
      <w:lvlText w:val="·"/>
      <w:numFmt w:val="bullet"/>
      <w:start w:val="1"/>
    </w:lvl>
  </w:abstractNum>
  <w:abstractNum w:abstractNumId="7">
    <w:nsid w:val="140E0F76"/>
    <w:multiLevelType w:val="hybridMultilevel"/>
    <w:lvl w:ilvl="0">
      <w:lvlJc w:val="left"/>
      <w:lvlText w:val="·"/>
      <w:numFmt w:val="bullet"/>
      <w:start w:val="1"/>
    </w:lvl>
  </w:abstractNum>
  <w:abstractNum w:abstractNumId="8">
    <w:nsid w:val="3352255A"/>
    <w:multiLevelType w:val="hybridMultilevel"/>
    <w:lvl w:ilvl="0">
      <w:lvlJc w:val="left"/>
      <w:lvlText w:val="·"/>
      <w:numFmt w:val="bullet"/>
      <w:start w:val="1"/>
    </w:lvl>
  </w:abstractNum>
  <w:abstractNum w:abstractNumId="9">
    <w:nsid w:val="109CF92E"/>
    <w:multiLevelType w:val="hybridMultilevel"/>
    <w:lvl w:ilvl="0">
      <w:lvlJc w:val="left"/>
      <w:lvlText w:val="(%1)"/>
      <w:numFmt w:val="lowerLetter"/>
      <w:start w:val="1"/>
    </w:lvl>
  </w:abstractNum>
  <w:abstractNum w:abstractNumId="10">
    <w:nsid w:val="DED7263"/>
    <w:multiLevelType w:val="hybridMultilevel"/>
    <w:lvl w:ilvl="0">
      <w:lvlJc w:val="left"/>
      <w:lvlText w:val="(%1)"/>
      <w:numFmt w:val="lowerLetter"/>
      <w:start w:val="2"/>
    </w:lvl>
  </w:abstractNum>
  <w:abstractNum w:abstractNumId="11">
    <w:nsid w:val="7FDCC233"/>
    <w:multiLevelType w:val="hybridMultilevel"/>
    <w:lvl w:ilvl="0">
      <w:lvlJc w:val="left"/>
      <w:lvlText w:val="·"/>
      <w:numFmt w:val="bullet"/>
      <w:start w:val="1"/>
    </w:lvl>
  </w:abstractNum>
  <w:abstractNum w:abstractNumId="12">
    <w:nsid w:val="1BEFD79F"/>
    <w:multiLevelType w:val="hybridMultilevel"/>
    <w:lvl w:ilvl="0">
      <w:lvlJc w:val="left"/>
      <w:lvlText w:val="(%1)"/>
      <w:numFmt w:val="decimal"/>
      <w:start w:val="1"/>
    </w:lvl>
  </w:abstractNum>
  <w:abstractNum w:abstractNumId="13">
    <w:nsid w:val="41A7C4C9"/>
    <w:multiLevelType w:val="hybridMultilevel"/>
    <w:lvl w:ilvl="0">
      <w:lvlJc w:val="left"/>
      <w:lvlText w:val="%1."/>
      <w:numFmt w:val="decimal"/>
      <w:start w:val="1"/>
    </w:lvl>
    <w:lvl w:ilvl="1">
      <w:lvlJc w:val="left"/>
      <w:lvlText w:val="%2."/>
      <w:numFmt w:val="lowerLetter"/>
      <w:start w:val="1"/>
    </w:lvl>
  </w:abstractNum>
  <w:abstractNum w:abstractNumId="14">
    <w:nsid w:val="6B68079A"/>
    <w:multiLevelType w:val="hybridMultilevel"/>
    <w:lvl w:ilvl="0">
      <w:lvlJc w:val="left"/>
      <w:lvlText w:val="%1."/>
      <w:numFmt w:val="decimal"/>
      <w:start w:val="1"/>
    </w:lvl>
    <w:lvl w:ilvl="1">
      <w:lvlJc w:val="left"/>
      <w:lvlText w:val="%2."/>
      <w:numFmt w:val="lowerLetter"/>
      <w:start w:val="1"/>
    </w:lvl>
  </w:abstractNum>
  <w:abstractNum w:abstractNumId="15">
    <w:nsid w:val="4E6AFB66"/>
    <w:multiLevelType w:val="hybridMultilevel"/>
    <w:lvl w:ilvl="0">
      <w:lvlJc w:val="left"/>
      <w:lvlText w:val="(%1)"/>
      <w:numFmt w:val="decimal"/>
      <w:start w:val="1"/>
    </w:lvl>
  </w:abstractNum>
  <w:abstractNum w:abstractNumId="16">
    <w:nsid w:val="25E45D3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5" Type="http://schemas.openxmlformats.org/officeDocument/2006/relationships/image" Target="media/image45.png"/><Relationship Id="rId56" Type="http://schemas.openxmlformats.org/officeDocument/2006/relationships/image" Target="media/image46.png"/><Relationship Id="rId57" Type="http://schemas.openxmlformats.org/officeDocument/2006/relationships/image" Target="media/image47.png"/><Relationship Id="rId58" Type="http://schemas.openxmlformats.org/officeDocument/2006/relationships/image" Target="media/image48.png"/><Relationship Id="rId59" Type="http://schemas.openxmlformats.org/officeDocument/2006/relationships/image" Target="media/image49.png"/><Relationship Id="rId60" Type="http://schemas.openxmlformats.org/officeDocument/2006/relationships/image" Target="media/image50.png"/><Relationship Id="rId61" Type="http://schemas.openxmlformats.org/officeDocument/2006/relationships/image" Target="media/image51.png"/><Relationship Id="rId62" Type="http://schemas.openxmlformats.org/officeDocument/2006/relationships/image" Target="media/image52.png"/><Relationship Id="rId63" Type="http://schemas.openxmlformats.org/officeDocument/2006/relationships/image" Target="media/image53.png"/><Relationship Id="rId64" Type="http://schemas.openxmlformats.org/officeDocument/2006/relationships/image" Target="media/image54.png"/><Relationship Id="rId65" Type="http://schemas.openxmlformats.org/officeDocument/2006/relationships/image" Target="media/image55.png"/><Relationship Id="rId66" Type="http://schemas.openxmlformats.org/officeDocument/2006/relationships/image" Target="media/image56.png"/><Relationship Id="rId67" Type="http://schemas.openxmlformats.org/officeDocument/2006/relationships/image" Target="media/image57.png"/><Relationship Id="rId52" Type="http://schemas.openxmlformats.org/officeDocument/2006/relationships/hyperlink" Target="http://www.sec.gov/Archives/edgar/data/78128/000155278118000448/e18403_ex2-1.htm" TargetMode="External"/><Relationship Id="rId53" Type="http://schemas.openxmlformats.org/officeDocument/2006/relationships/hyperlink" Target="http://www.sec.gov/Archives/edgar/data/78128/000155278118000331/e18313_ex3-1.htm" TargetMode="External"/><Relationship Id="rId54" Type="http://schemas.openxmlformats.org/officeDocument/2006/relationships/hyperlink" Target="http://www.sec.gov/Archives/edgar/data/78128/000007812815000011/wtr-20150930ex1016b95c7.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2019-12-28T18:26:11Z</dcterms:created>
  <dcterms:modified xsi:type="dcterms:W3CDTF">2019-12-28T18:26:11Z</dcterms:modified>
</cp:coreProperties>
</file>