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92" w:lineRule="auto"/>
        <w:rPr>
          <w:sz w:val="20"/>
          <w:szCs w:val="20"/>
          <w:color w:val="auto"/>
        </w:rPr>
      </w:pPr>
      <w:r>
        <w:rPr>
          <w:rFonts w:ascii="Times New Roman" w:cs="Times New Roman" w:eastAsia="Times New Roman" w:hAnsi="Times New Roman"/>
          <w:sz w:val="19"/>
          <w:szCs w:val="19"/>
          <w:color w:val="auto"/>
        </w:rPr>
        <w:t>(Mark One)</w:t>
      </w:r>
    </w:p>
    <w:p>
      <w:pPr>
        <w:spacing w:after="0" w:line="1" w:lineRule="exact"/>
        <w:rPr>
          <w:sz w:val="24"/>
          <w:szCs w:val="24"/>
          <w:color w:val="auto"/>
        </w:rPr>
      </w:pPr>
    </w:p>
    <w:p>
      <w:pPr>
        <w:ind w:left="3700" w:right="1920" w:hanging="3684"/>
        <w:spacing w:after="0" w:line="347" w:lineRule="auto"/>
        <w:rPr>
          <w:sz w:val="20"/>
          <w:szCs w:val="20"/>
          <w:color w:val="auto"/>
        </w:rPr>
      </w:pPr>
      <w:r>
        <w:rPr>
          <w:rFonts w:ascii="Arial" w:cs="Arial" w:eastAsia="Arial" w:hAnsi="Arial"/>
          <w:sz w:val="14"/>
          <w:szCs w:val="14"/>
          <w:b w:val="1"/>
          <w:bCs w:val="1"/>
          <w:color w:val="auto"/>
          <w:highlight w:val="black"/>
        </w:rPr>
        <w:t xml:space="preserve">S </w:t>
      </w:r>
      <w:r>
        <w:rPr>
          <w:rFonts w:ascii="Times New Roman" w:cs="Times New Roman" w:eastAsia="Times New Roman" w:hAnsi="Times New Roman"/>
          <w:sz w:val="18"/>
          <w:szCs w:val="18"/>
          <w:color w:val="auto"/>
        </w:rPr>
        <w:t>QUARTERLY REPORT PURSUANT TO SECTION 13 or 15 (d) OF THE SECURITIES EXCHANGE ACT OF 1934.</w:t>
      </w:r>
      <w:r>
        <w:rPr>
          <w:rFonts w:ascii="Arial" w:cs="Arial" w:eastAsia="Arial" w:hAnsi="Arial"/>
          <w:sz w:val="14"/>
          <w:szCs w:val="14"/>
          <w:b w:val="1"/>
          <w:bCs w:val="1"/>
          <w:color w:val="auto"/>
          <w:highlight w:val="black"/>
        </w:rPr>
        <w:t xml:space="preserve"> </w:t>
      </w:r>
      <w:r>
        <w:rPr>
          <w:rFonts w:ascii="Times New Roman" w:cs="Times New Roman" w:eastAsia="Times New Roman" w:hAnsi="Times New Roman"/>
          <w:sz w:val="18"/>
          <w:szCs w:val="18"/>
          <w:color w:val="auto"/>
        </w:rPr>
        <w:t>For the quarterly period ended September 30, 2025</w:t>
      </w:r>
    </w:p>
    <w:p>
      <w:pPr>
        <w:spacing w:after="0" w:line="1" w:lineRule="exact"/>
        <w:rPr>
          <w:sz w:val="24"/>
          <w:szCs w:val="24"/>
          <w:color w:val="auto"/>
        </w:rPr>
      </w:pPr>
    </w:p>
    <w:p>
      <w:pPr>
        <w:ind w:left="2960" w:right="1840" w:hanging="2952"/>
        <w:spacing w:after="0" w:line="250" w:lineRule="auto"/>
        <w:tabs>
          <w:tab w:leader="none" w:pos="218" w:val="left"/>
        </w:tabs>
        <w:numPr>
          <w:ilvl w:val="0"/>
          <w:numId w:val="1"/>
        </w:numPr>
        <w:rPr>
          <w:rFonts w:ascii="Arial" w:cs="Arial" w:eastAsia="Arial" w:hAnsi="Arial"/>
          <w:sz w:val="14"/>
          <w:szCs w:val="14"/>
          <w:b w:val="1"/>
          <w:bCs w:val="1"/>
          <w:color w:val="auto"/>
          <w:highlight w:val="black"/>
        </w:rPr>
      </w:pPr>
      <w:r>
        <w:rPr>
          <w:rFonts w:ascii="Times New Roman" w:cs="Times New Roman" w:eastAsia="Times New Roman" w:hAnsi="Times New Roman"/>
          <w:sz w:val="19"/>
          <w:szCs w:val="19"/>
          <w:color w:val="auto"/>
        </w:rPr>
        <w:t>TRANSITION REPORT PURSUANT TO SECTION 13 OR 15(d) OF THE SECURITIES EXCHANGE ACT OF 1934. For the transition period from_______________ to _______________</w:t>
      </w:r>
    </w:p>
    <w:p>
      <w:pPr>
        <w:spacing w:after="0" w:line="5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color w:val="auto"/>
        </w:rPr>
        <w:t>Commission File Number 1-6659</w:t>
      </w:r>
    </w:p>
    <w:p>
      <w:pPr>
        <w:spacing w:after="0" w:line="15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b w:val="1"/>
          <w:bCs w:val="1"/>
          <w:u w:val="single" w:color="auto"/>
          <w:color w:val="auto"/>
        </w:rPr>
        <w:t>ESSENTIAL UTILITIES, INC.</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177"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480" w:type="dxa"/>
            <w:vAlign w:val="bottom"/>
            <w:gridSpan w:val="4"/>
          </w:tcPr>
          <w:p>
            <w:pPr>
              <w:jc w:val="center"/>
              <w:ind w:right="1440"/>
              <w:spacing w:after="0" w:line="183" w:lineRule="exact"/>
              <w:rPr>
                <w:sz w:val="20"/>
                <w:szCs w:val="20"/>
                <w:color w:val="auto"/>
              </w:rPr>
            </w:pPr>
            <w:r>
              <w:rPr>
                <w:rFonts w:ascii="Times New Roman" w:cs="Times New Roman" w:eastAsia="Times New Roman" w:hAnsi="Times New Roman"/>
                <w:sz w:val="19"/>
                <w:szCs w:val="19"/>
                <w:color w:val="auto"/>
                <w:w w:val="99"/>
              </w:rPr>
              <w:t>(State or other jurisdiction of</w:t>
            </w:r>
          </w:p>
        </w:tc>
        <w:tc>
          <w:tcPr>
            <w:tcW w:w="2860" w:type="dxa"/>
            <w:vAlign w:val="bottom"/>
            <w:gridSpan w:val="5"/>
          </w:tcPr>
          <w:p>
            <w:pPr>
              <w:jc w:val="center"/>
              <w:ind w:left="1346"/>
              <w:spacing w:after="0" w:line="183" w:lineRule="exact"/>
              <w:rPr>
                <w:sz w:val="20"/>
                <w:szCs w:val="20"/>
                <w:color w:val="auto"/>
              </w:rPr>
            </w:pPr>
            <w:r>
              <w:rPr>
                <w:rFonts w:ascii="Times New Roman" w:cs="Times New Roman" w:eastAsia="Times New Roman" w:hAnsi="Times New Roman"/>
                <w:sz w:val="19"/>
                <w:szCs w:val="19"/>
                <w:color w:val="auto"/>
              </w:rPr>
              <w:t>(I.R.S. Employer</w:t>
            </w:r>
          </w:p>
        </w:tc>
      </w:tr>
      <w:tr>
        <w:trPr>
          <w:trHeight w:val="244"/>
        </w:trPr>
        <w:tc>
          <w:tcPr>
            <w:tcW w:w="5480" w:type="dxa"/>
            <w:vAlign w:val="bottom"/>
            <w:gridSpan w:val="4"/>
          </w:tcPr>
          <w:p>
            <w:pPr>
              <w:jc w:val="center"/>
              <w:ind w:right="1440"/>
              <w:spacing w:after="0"/>
              <w:rPr>
                <w:sz w:val="20"/>
                <w:szCs w:val="20"/>
                <w:color w:val="auto"/>
              </w:rPr>
            </w:pPr>
            <w:r>
              <w:rPr>
                <w:rFonts w:ascii="Times New Roman" w:cs="Times New Roman" w:eastAsia="Times New Roman" w:hAnsi="Times New Roman"/>
                <w:sz w:val="19"/>
                <w:szCs w:val="19"/>
                <w:color w:val="auto"/>
                <w:w w:val="99"/>
              </w:rPr>
              <w:t>incorporation or organization)</w:t>
            </w:r>
          </w:p>
        </w:tc>
        <w:tc>
          <w:tcPr>
            <w:tcW w:w="2860" w:type="dxa"/>
            <w:vAlign w:val="bottom"/>
            <w:gridSpan w:val="5"/>
          </w:tcPr>
          <w:p>
            <w:pPr>
              <w:jc w:val="center"/>
              <w:ind w:left="1346"/>
              <w:spacing w:after="0"/>
              <w:rPr>
                <w:sz w:val="20"/>
                <w:szCs w:val="20"/>
                <w:color w:val="auto"/>
              </w:rPr>
            </w:pPr>
            <w:r>
              <w:rPr>
                <w:rFonts w:ascii="Times New Roman" w:cs="Times New Roman" w:eastAsia="Times New Roman" w:hAnsi="Times New Roman"/>
                <w:sz w:val="19"/>
                <w:szCs w:val="19"/>
                <w:color w:val="auto"/>
              </w:rPr>
              <w:t>Identification No.)</w:t>
            </w:r>
          </w:p>
        </w:tc>
      </w:tr>
      <w:tr>
        <w:trPr>
          <w:trHeight w:val="362"/>
        </w:trPr>
        <w:tc>
          <w:tcPr>
            <w:tcW w:w="5480" w:type="dxa"/>
            <w:vAlign w:val="bottom"/>
            <w:gridSpan w:val="4"/>
          </w:tcPr>
          <w:p>
            <w:pPr>
              <w:jc w:val="center"/>
              <w:ind w:right="1460"/>
              <w:spacing w:after="0"/>
              <w:rPr>
                <w:sz w:val="20"/>
                <w:szCs w:val="20"/>
                <w:color w:val="auto"/>
              </w:rPr>
            </w:pPr>
            <w:r>
              <w:rPr>
                <w:rFonts w:ascii="Times New Roman" w:cs="Times New Roman" w:eastAsia="Times New Roman" w:hAnsi="Times New Roman"/>
                <w:sz w:val="19"/>
                <w:szCs w:val="19"/>
                <w:color w:val="auto"/>
                <w:w w:val="98"/>
              </w:rPr>
              <w:t>762 W. Lancaster Avenue, Bryn Mawr, Pennsylvania</w:t>
            </w:r>
          </w:p>
        </w:tc>
        <w:tc>
          <w:tcPr>
            <w:tcW w:w="2860" w:type="dxa"/>
            <w:vAlign w:val="bottom"/>
            <w:gridSpan w:val="5"/>
          </w:tcPr>
          <w:p>
            <w:pPr>
              <w:jc w:val="right"/>
              <w:ind w:right="220"/>
              <w:spacing w:after="0"/>
              <w:rPr>
                <w:sz w:val="20"/>
                <w:szCs w:val="20"/>
                <w:color w:val="auto"/>
              </w:rPr>
            </w:pPr>
            <w:r>
              <w:rPr>
                <w:rFonts w:ascii="Times New Roman" w:cs="Times New Roman" w:eastAsia="Times New Roman" w:hAnsi="Times New Roman"/>
                <w:sz w:val="19"/>
                <w:szCs w:val="19"/>
                <w:color w:val="auto"/>
              </w:rPr>
              <w:t>19010 -3489</w:t>
            </w:r>
          </w:p>
        </w:tc>
      </w:tr>
      <w:tr>
        <w:trPr>
          <w:trHeight w:val="238"/>
        </w:trPr>
        <w:tc>
          <w:tcPr>
            <w:tcW w:w="4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w w:val="99"/>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w w:val="97"/>
              </w:rPr>
              <w:t>(Zip Code)</w:t>
            </w:r>
          </w:p>
        </w:tc>
        <w:tc>
          <w:tcPr>
            <w:tcW w:w="220" w:type="dxa"/>
            <w:vAlign w:val="bottom"/>
          </w:tcPr>
          <w:p>
            <w:pPr>
              <w:spacing w:after="0"/>
              <w:rPr>
                <w:sz w:val="20"/>
                <w:szCs w:val="20"/>
                <w:color w:val="auto"/>
              </w:rPr>
            </w:pP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(610) 527-8000</w:t>
      </w:r>
    </w:p>
    <w:p>
      <w:pPr>
        <w:jc w:val="center"/>
        <w:spacing w:after="0" w:line="226" w:lineRule="auto"/>
        <w:rPr>
          <w:sz w:val="20"/>
          <w:szCs w:val="20"/>
          <w:color w:val="auto"/>
        </w:rPr>
      </w:pPr>
      <w:r>
        <w:rPr>
          <w:rFonts w:ascii="Times New Roman" w:cs="Times New Roman" w:eastAsia="Times New Roman" w:hAnsi="Times New Roman"/>
          <w:sz w:val="19"/>
          <w:szCs w:val="19"/>
          <w:color w:val="auto"/>
        </w:rPr>
        <w:t>(Registrant’s telephone number, including area code)</w:t>
      </w:r>
    </w:p>
    <w:p>
      <w:pPr>
        <w:jc w:val="center"/>
        <w:spacing w:after="0" w:line="223" w:lineRule="auto"/>
        <w:rPr>
          <w:sz w:val="20"/>
          <w:szCs w:val="20"/>
          <w:color w:val="auto"/>
        </w:rPr>
      </w:pPr>
      <w:r>
        <w:rPr>
          <w:rFonts w:ascii="Times New Roman" w:cs="Times New Roman" w:eastAsia="Times New Roman" w:hAnsi="Times New Roman"/>
          <w:sz w:val="19"/>
          <w:szCs w:val="19"/>
          <w:u w:val="single" w:color="auto"/>
          <w:color w:val="auto"/>
        </w:rPr>
        <w:t>N/A</w:t>
      </w:r>
    </w:p>
    <w:p>
      <w:pPr>
        <w:jc w:val="center"/>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167" w:lineRule="exact"/>
        <w:rPr>
          <w:sz w:val="24"/>
          <w:szCs w:val="24"/>
          <w:color w:val="auto"/>
        </w:rPr>
      </w:pPr>
    </w:p>
    <w:p>
      <w:pPr>
        <w:ind w:right="16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b w:val="1"/>
          <w:bCs w:val="1"/>
          <w:color w:val="auto"/>
          <w:highlight w:val="black"/>
        </w:rPr>
        <w:t>S</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w:t>
      </w:r>
    </w:p>
    <w:p>
      <w:pPr>
        <w:spacing w:after="0" w:line="163" w:lineRule="exact"/>
        <w:rPr>
          <w:sz w:val="24"/>
          <w:szCs w:val="24"/>
          <w:color w:val="auto"/>
        </w:rPr>
      </w:pPr>
    </w:p>
    <w:p>
      <w:pPr>
        <w:ind w:right="20"/>
        <w:spacing w:after="0" w:line="244"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b w:val="1"/>
          <w:bCs w:val="1"/>
          <w:color w:val="auto"/>
          <w:highlight w:val="black"/>
        </w:rPr>
        <w:t>S</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w:t>
      </w:r>
    </w:p>
    <w:p>
      <w:pPr>
        <w:spacing w:after="0" w:line="157" w:lineRule="exact"/>
        <w:rPr>
          <w:sz w:val="24"/>
          <w:szCs w:val="24"/>
          <w:color w:val="auto"/>
        </w:rPr>
      </w:pPr>
    </w:p>
    <w:p>
      <w:pPr>
        <w:jc w:val="both"/>
        <w:ind w:right="200"/>
        <w:spacing w:after="0" w:line="237"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Arial" w:cs="Arial" w:eastAsia="Arial" w:hAnsi="Arial"/>
          <w:sz w:val="13"/>
          <w:szCs w:val="13"/>
          <w:b w:val="1"/>
          <w:bCs w:val="1"/>
          <w:color w:val="auto"/>
          <w:highlight w:val="black"/>
        </w:rPr>
        <w:t>S</w:t>
      </w:r>
    </w:p>
    <w:p>
      <w:pPr>
        <w:spacing w:after="0" w:line="226" w:lineRule="auto"/>
        <w:rPr>
          <w:sz w:val="20"/>
          <w:szCs w:val="20"/>
          <w:color w:val="auto"/>
        </w:rPr>
      </w:pPr>
      <w:r>
        <w:rPr>
          <w:rFonts w:ascii="Times New Roman" w:cs="Times New Roman" w:eastAsia="Times New Roman" w:hAnsi="Times New Roman"/>
          <w:sz w:val="19"/>
          <w:szCs w:val="19"/>
          <w:color w:val="auto"/>
        </w:rPr>
        <w:t xml:space="preserve">Non-Accelerated Filer </w:t>
      </w:r>
      <w:r>
        <w:rPr>
          <w:rFonts w:ascii="Arial" w:cs="Arial" w:eastAsia="Arial" w:hAnsi="Arial"/>
          <w:sz w:val="13"/>
          <w:szCs w:val="13"/>
          <w:b w:val="1"/>
          <w:bCs w:val="1"/>
          <w:color w:val="auto"/>
          <w:highlight w:val="black"/>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Emerging Growth Company </w:t>
      </w:r>
      <w:r>
        <w:rPr>
          <w:rFonts w:ascii="Arial" w:cs="Arial" w:eastAsia="Arial" w:hAnsi="Arial"/>
          <w:sz w:val="13"/>
          <w:szCs w:val="13"/>
          <w:b w:val="1"/>
          <w:bCs w:val="1"/>
          <w:color w:val="auto"/>
          <w:highlight w:val="black"/>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Accelerated Filer </w:t>
      </w:r>
      <w:r>
        <w:rPr>
          <w:rFonts w:ascii="Arial" w:cs="Arial" w:eastAsia="Arial" w:hAnsi="Arial"/>
          <w:sz w:val="13"/>
          <w:szCs w:val="13"/>
          <w:b w:val="1"/>
          <w:bCs w:val="1"/>
          <w:color w:val="auto"/>
          <w:highlight w:val="black"/>
        </w:rPr>
        <w: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Smaller Reporting Company </w:t>
      </w:r>
      <w:r>
        <w:rPr>
          <w:rFonts w:ascii="Arial" w:cs="Arial" w:eastAsia="Arial" w:hAnsi="Arial"/>
          <w:sz w:val="13"/>
          <w:szCs w:val="13"/>
          <w:b w:val="1"/>
          <w:bCs w:val="1"/>
          <w:color w:val="auto"/>
          <w:highlight w:val="black"/>
        </w:rPr>
        <w:t>£</w:t>
      </w:r>
    </w:p>
    <w:p>
      <w:pPr>
        <w:spacing w:after="0" w:line="369"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50"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3"/>
          <w:szCs w:val="13"/>
          <w:b w:val="1"/>
          <w:bCs w:val="1"/>
          <w:color w:val="auto"/>
          <w:highlight w:val="black"/>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Arial" w:cs="Arial" w:eastAsia="Arial" w:hAnsi="Arial"/>
          <w:sz w:val="13"/>
          <w:szCs w:val="13"/>
          <w:b w:val="1"/>
          <w:bCs w:val="1"/>
          <w:color w:val="auto"/>
          <w:highlight w:val="black"/>
        </w:rPr>
        <w:t>£</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S</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786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tc>
      </w:tr>
      <w:tr>
        <w:trPr>
          <w:trHeight w:val="229"/>
        </w:trPr>
        <w:tc>
          <w:tcPr>
            <w:tcW w:w="3380" w:type="dxa"/>
            <w:vAlign w:val="bottom"/>
          </w:tcPr>
          <w:p>
            <w:pPr>
              <w:jc w:val="center"/>
              <w:ind w:left="686"/>
              <w:spacing w:after="0"/>
              <w:rPr>
                <w:sz w:val="20"/>
                <w:szCs w:val="20"/>
                <w:color w:val="auto"/>
              </w:rPr>
            </w:pPr>
            <w:r>
              <w:rPr>
                <w:rFonts w:ascii="Times New Roman" w:cs="Times New Roman" w:eastAsia="Times New Roman" w:hAnsi="Times New Roman"/>
                <w:sz w:val="19"/>
                <w:szCs w:val="19"/>
                <w:color w:val="auto"/>
                <w:w w:val="98"/>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w w:val="99"/>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Name of each exchange on which registered</w:t>
            </w:r>
          </w:p>
        </w:tc>
      </w:tr>
      <w:tr>
        <w:trPr>
          <w:trHeight w:val="238"/>
        </w:trPr>
        <w:tc>
          <w:tcPr>
            <w:tcW w:w="3380" w:type="dxa"/>
            <w:vAlign w:val="bottom"/>
            <w:tcBorders>
              <w:top w:val="single" w:sz="8" w:color="auto"/>
            </w:tcBorders>
          </w:tcPr>
          <w:p>
            <w:pPr>
              <w:jc w:val="center"/>
              <w:ind w:left="706"/>
              <w:spacing w:after="0"/>
              <w:rPr>
                <w:sz w:val="20"/>
                <w:szCs w:val="20"/>
                <w:color w:val="auto"/>
              </w:rPr>
            </w:pPr>
            <w:r>
              <w:rPr>
                <w:rFonts w:ascii="Times New Roman" w:cs="Times New Roman" w:eastAsia="Times New Roman" w:hAnsi="Times New Roman"/>
                <w:sz w:val="19"/>
                <w:szCs w:val="19"/>
                <w:color w:val="auto"/>
                <w:w w:val="99"/>
              </w:rPr>
              <w:t>Common stock, $0.50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WTRG</w:t>
            </w:r>
          </w:p>
        </w:tc>
        <w:tc>
          <w:tcPr>
            <w:tcW w:w="24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New York Stock Exchange</w:t>
            </w:r>
          </w:p>
        </w:tc>
      </w:tr>
    </w:tbl>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October 27, 2025: 282,975,521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120" w:type="dxa"/>
            <w:vAlign w:val="bottom"/>
            <w:gridSpan w:val="10"/>
          </w:tcPr>
          <w:p>
            <w:pPr>
              <w:jc w:val="center"/>
              <w:ind w:right="2900"/>
              <w:spacing w:after="0"/>
              <w:rPr>
                <w:sz w:val="20"/>
                <w:szCs w:val="20"/>
                <w:color w:val="auto"/>
              </w:rPr>
            </w:pPr>
            <w:r>
              <w:rPr>
                <w:rFonts w:ascii="Times New Roman" w:cs="Times New Roman" w:eastAsia="Times New Roman" w:hAnsi="Times New Roman"/>
                <w:sz w:val="21"/>
                <w:szCs w:val="21"/>
                <w:color w:val="auto"/>
                <w:w w:val="97"/>
              </w:rPr>
              <w:t>TABLE OF CONTENTS</w:t>
            </w: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7"/>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21"/>
                <w:szCs w:val="21"/>
                <w:color w:val="auto"/>
              </w:rPr>
              <w:t>Page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40" w:type="dxa"/>
            <w:vAlign w:val="bottom"/>
            <w:gridSpan w:val="11"/>
            <w:shd w:val="clear" w:color="auto" w:fill="CCEEFF"/>
          </w:tcPr>
          <w:p>
            <w:pPr>
              <w:jc w:val="center"/>
              <w:ind w:right="2760"/>
              <w:spacing w:after="0" w:line="189" w:lineRule="exact"/>
              <w:rPr>
                <w:sz w:val="20"/>
                <w:szCs w:val="20"/>
                <w:color w:val="auto"/>
              </w:rPr>
            </w:pPr>
            <w:r>
              <w:rPr>
                <w:rFonts w:ascii="Times New Roman" w:cs="Times New Roman" w:eastAsia="Times New Roman" w:hAnsi="Times New Roman"/>
                <w:sz w:val="21"/>
                <w:szCs w:val="21"/>
                <w:color w:val="0563C1"/>
                <w:w w:val="98"/>
              </w:rPr>
              <w:t>Part I – Financial Information</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18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5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1.</w:t>
            </w:r>
          </w:p>
        </w:tc>
        <w:tc>
          <w:tcPr>
            <w:tcW w:w="8980" w:type="dxa"/>
            <w:vAlign w:val="bottom"/>
            <w:gridSpan w:val="25"/>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Financial Statements:</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898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Condensed Consolidated Balance Sheets (unaudited) – September 30, 2025 and December 31, 2024</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30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18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5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820" w:type="dxa"/>
            <w:vAlign w:val="bottom"/>
            <w:tcBorders>
              <w:top w:val="single" w:sz="8" w:color="0563C1"/>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CCEEFF"/>
            </w:tcBorders>
            <w:shd w:val="clear" w:color="auto" w:fill="CCEEFF"/>
          </w:tcPr>
          <w:p>
            <w:pPr>
              <w:spacing w:after="0"/>
              <w:rPr>
                <w:sz w:val="16"/>
                <w:szCs w:val="16"/>
                <w:color w:val="auto"/>
              </w:rPr>
            </w:pPr>
          </w:p>
        </w:tc>
        <w:tc>
          <w:tcPr>
            <w:tcW w:w="8980" w:type="dxa"/>
            <w:vAlign w:val="bottom"/>
            <w:tcBorders>
              <w:bottom w:val="single" w:sz="8" w:color="0563C1"/>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w w:val="98"/>
              </w:rPr>
              <w:t>Condensed Consolidated Statements of Operations and Comprehensive Income (unaudited) – Three Months</w:t>
            </w:r>
          </w:p>
        </w:tc>
        <w:tc>
          <w:tcPr>
            <w:tcW w:w="1700" w:type="dxa"/>
            <w:vAlign w:val="bottom"/>
            <w:tcBorders>
              <w:bottom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1"/>
                <w:szCs w:val="21"/>
                <w:color w:val="auto"/>
              </w:rPr>
              <w:t>4</w:t>
            </w:r>
          </w:p>
        </w:tc>
        <w:tc>
          <w:tcPr>
            <w:tcW w:w="0" w:type="dxa"/>
            <w:vAlign w:val="bottom"/>
          </w:tcPr>
          <w:p>
            <w:pPr>
              <w:spacing w:after="0"/>
              <w:rPr>
                <w:sz w:val="1"/>
                <w:szCs w:val="1"/>
                <w:color w:val="auto"/>
              </w:rPr>
            </w:pPr>
          </w:p>
        </w:tc>
      </w:tr>
      <w:tr>
        <w:trPr>
          <w:trHeight w:val="217"/>
        </w:trPr>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60" w:type="dxa"/>
            <w:vAlign w:val="bottom"/>
            <w:gridSpan w:val="23"/>
            <w:shd w:val="clear" w:color="auto" w:fill="CCEEFF"/>
          </w:tcPr>
          <w:p>
            <w:pPr>
              <w:spacing w:after="0" w:line="210" w:lineRule="exact"/>
              <w:rPr>
                <w:sz w:val="20"/>
                <w:szCs w:val="20"/>
                <w:color w:val="auto"/>
              </w:rPr>
            </w:pPr>
            <w:r>
              <w:rPr>
                <w:rFonts w:ascii="Times New Roman" w:cs="Times New Roman" w:eastAsia="Times New Roman" w:hAnsi="Times New Roman"/>
                <w:sz w:val="21"/>
                <w:szCs w:val="21"/>
                <w:color w:val="0563C1"/>
              </w:rPr>
              <w:t>Ended September 30, 2025 and 2024</w:t>
            </w:r>
          </w:p>
        </w:tc>
        <w:tc>
          <w:tcPr>
            <w:tcW w:w="170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30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898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w w:val="99"/>
              </w:rPr>
              <w:t>Condensed Consolidated Statements of Operations and Comprehensive Income (unaudited) – Nine Months</w:t>
            </w:r>
          </w:p>
        </w:tc>
        <w:tc>
          <w:tcPr>
            <w:tcW w:w="1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1"/>
                <w:szCs w:val="21"/>
                <w:color w:val="auto"/>
              </w:rPr>
              <w:t>5</w:t>
            </w: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563C1"/>
            </w:tcBorders>
            <w:shd w:val="clear" w:color="auto" w:fill="CCEEFF"/>
          </w:tcPr>
          <w:p>
            <w:pPr>
              <w:spacing w:after="0"/>
              <w:rPr>
                <w:sz w:val="18"/>
                <w:szCs w:val="18"/>
                <w:color w:val="auto"/>
              </w:rPr>
            </w:pPr>
          </w:p>
        </w:tc>
        <w:tc>
          <w:tcPr>
            <w:tcW w:w="100" w:type="dxa"/>
            <w:vAlign w:val="bottom"/>
            <w:tcBorders>
              <w:top w:val="single" w:sz="8" w:color="0563C1"/>
            </w:tcBorders>
            <w:shd w:val="clear" w:color="auto" w:fill="CCEEFF"/>
          </w:tcPr>
          <w:p>
            <w:pPr>
              <w:spacing w:after="0"/>
              <w:rPr>
                <w:sz w:val="18"/>
                <w:szCs w:val="18"/>
                <w:color w:val="auto"/>
              </w:rPr>
            </w:pPr>
          </w:p>
        </w:tc>
        <w:tc>
          <w:tcPr>
            <w:tcW w:w="8600" w:type="dxa"/>
            <w:vAlign w:val="bottom"/>
            <w:tcBorders>
              <w:top w:val="single" w:sz="8" w:color="0563C1"/>
            </w:tcBorders>
            <w:gridSpan w:val="22"/>
            <w:shd w:val="clear" w:color="auto" w:fill="CCEEFF"/>
          </w:tcPr>
          <w:p>
            <w:pPr>
              <w:spacing w:after="0" w:line="210" w:lineRule="exact"/>
              <w:rPr>
                <w:sz w:val="20"/>
                <w:szCs w:val="20"/>
                <w:color w:val="auto"/>
              </w:rPr>
            </w:pPr>
            <w:r>
              <w:rPr>
                <w:rFonts w:ascii="Times New Roman" w:cs="Times New Roman" w:eastAsia="Times New Roman" w:hAnsi="Times New Roman"/>
                <w:sz w:val="21"/>
                <w:szCs w:val="21"/>
                <w:color w:val="0563C1"/>
              </w:rPr>
              <w:t>Ended September 30, 2025 and 2024</w:t>
            </w:r>
          </w:p>
        </w:tc>
        <w:tc>
          <w:tcPr>
            <w:tcW w:w="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30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898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w w:val="99"/>
              </w:rPr>
              <w:t>Condensed Consolidated Statements of Capitalization (unaudited) - September 30, 2025 and December 31,</w:t>
            </w:r>
          </w:p>
        </w:tc>
        <w:tc>
          <w:tcPr>
            <w:tcW w:w="1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1"/>
                <w:szCs w:val="21"/>
                <w:color w:val="auto"/>
              </w:rPr>
              <w:t>6</w:t>
            </w: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0563C1"/>
            </w:tcBorders>
            <w:gridSpan w:val="5"/>
            <w:shd w:val="clear" w:color="auto" w:fill="CCEEFF"/>
          </w:tcPr>
          <w:p>
            <w:pPr>
              <w:ind w:left="320"/>
              <w:spacing w:after="0" w:line="210" w:lineRule="exact"/>
              <w:rPr>
                <w:sz w:val="20"/>
                <w:szCs w:val="20"/>
                <w:color w:val="auto"/>
              </w:rPr>
            </w:pPr>
            <w:r>
              <w:rPr>
                <w:rFonts w:ascii="Times New Roman" w:cs="Times New Roman" w:eastAsia="Times New Roman" w:hAnsi="Times New Roman"/>
                <w:sz w:val="21"/>
                <w:szCs w:val="21"/>
                <w:color w:val="0563C1"/>
                <w:w w:val="95"/>
              </w:rPr>
              <w:t>2024</w:t>
            </w:r>
          </w:p>
        </w:tc>
        <w:tc>
          <w:tcPr>
            <w:tcW w:w="60" w:type="dxa"/>
            <w:vAlign w:val="bottom"/>
            <w:tcBorders>
              <w:top w:val="single" w:sz="8" w:color="0563C1"/>
            </w:tcBorders>
            <w:shd w:val="clear" w:color="auto" w:fill="CCEEFF"/>
          </w:tcPr>
          <w:p>
            <w:pPr>
              <w:spacing w:after="0"/>
              <w:rPr>
                <w:sz w:val="18"/>
                <w:szCs w:val="18"/>
                <w:color w:val="auto"/>
              </w:rPr>
            </w:pPr>
          </w:p>
        </w:tc>
        <w:tc>
          <w:tcPr>
            <w:tcW w:w="280" w:type="dxa"/>
            <w:vAlign w:val="bottom"/>
            <w:tcBorders>
              <w:top w:val="single" w:sz="8" w:color="0563C1"/>
            </w:tcBorders>
            <w:shd w:val="clear" w:color="auto" w:fill="CCEEFF"/>
          </w:tcPr>
          <w:p>
            <w:pPr>
              <w:spacing w:after="0"/>
              <w:rPr>
                <w:sz w:val="18"/>
                <w:szCs w:val="18"/>
                <w:color w:val="auto"/>
              </w:rPr>
            </w:pPr>
          </w:p>
        </w:tc>
        <w:tc>
          <w:tcPr>
            <w:tcW w:w="140" w:type="dxa"/>
            <w:vAlign w:val="bottom"/>
            <w:tcBorders>
              <w:top w:val="single" w:sz="8" w:color="0563C1"/>
            </w:tcBorders>
            <w:shd w:val="clear" w:color="auto" w:fill="CCEEFF"/>
          </w:tcPr>
          <w:p>
            <w:pPr>
              <w:spacing w:after="0"/>
              <w:rPr>
                <w:sz w:val="18"/>
                <w:szCs w:val="18"/>
                <w:color w:val="auto"/>
              </w:rPr>
            </w:pPr>
          </w:p>
        </w:tc>
        <w:tc>
          <w:tcPr>
            <w:tcW w:w="320" w:type="dxa"/>
            <w:vAlign w:val="bottom"/>
            <w:tcBorders>
              <w:top w:val="single" w:sz="8" w:color="0563C1"/>
            </w:tcBorders>
            <w:shd w:val="clear" w:color="auto" w:fill="CCEEFF"/>
          </w:tcPr>
          <w:p>
            <w:pPr>
              <w:spacing w:after="0"/>
              <w:rPr>
                <w:sz w:val="18"/>
                <w:szCs w:val="18"/>
                <w:color w:val="auto"/>
              </w:rPr>
            </w:pPr>
          </w:p>
        </w:tc>
        <w:tc>
          <w:tcPr>
            <w:tcW w:w="40" w:type="dxa"/>
            <w:vAlign w:val="bottom"/>
            <w:tcBorders>
              <w:top w:val="single" w:sz="8" w:color="0563C1"/>
            </w:tcBorders>
            <w:shd w:val="clear" w:color="auto" w:fill="CCEEFF"/>
          </w:tcPr>
          <w:p>
            <w:pPr>
              <w:spacing w:after="0"/>
              <w:rPr>
                <w:sz w:val="18"/>
                <w:szCs w:val="18"/>
                <w:color w:val="auto"/>
              </w:rPr>
            </w:pPr>
          </w:p>
        </w:tc>
        <w:tc>
          <w:tcPr>
            <w:tcW w:w="240" w:type="dxa"/>
            <w:vAlign w:val="bottom"/>
            <w:tcBorders>
              <w:top w:val="single" w:sz="8" w:color="0563C1"/>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1300" w:type="dxa"/>
            <w:vAlign w:val="bottom"/>
            <w:tcBorders>
              <w:top w:val="single" w:sz="8" w:color="0563C1"/>
            </w:tcBorders>
            <w:shd w:val="clear" w:color="auto" w:fill="CCEEFF"/>
          </w:tcPr>
          <w:p>
            <w:pPr>
              <w:spacing w:after="0"/>
              <w:rPr>
                <w:sz w:val="18"/>
                <w:szCs w:val="18"/>
                <w:color w:val="auto"/>
              </w:rPr>
            </w:pPr>
          </w:p>
        </w:tc>
        <w:tc>
          <w:tcPr>
            <w:tcW w:w="360" w:type="dxa"/>
            <w:vAlign w:val="bottom"/>
            <w:tcBorders>
              <w:top w:val="single" w:sz="8" w:color="0563C1"/>
            </w:tcBorders>
            <w:shd w:val="clear" w:color="auto" w:fill="CCEEFF"/>
          </w:tcPr>
          <w:p>
            <w:pPr>
              <w:spacing w:after="0"/>
              <w:rPr>
                <w:sz w:val="18"/>
                <w:szCs w:val="18"/>
                <w:color w:val="auto"/>
              </w:rPr>
            </w:pPr>
          </w:p>
        </w:tc>
        <w:tc>
          <w:tcPr>
            <w:tcW w:w="120" w:type="dxa"/>
            <w:vAlign w:val="bottom"/>
            <w:tcBorders>
              <w:top w:val="single" w:sz="8" w:color="0563C1"/>
            </w:tcBorders>
            <w:shd w:val="clear" w:color="auto" w:fill="CCEEFF"/>
          </w:tcPr>
          <w:p>
            <w:pPr>
              <w:spacing w:after="0"/>
              <w:rPr>
                <w:sz w:val="18"/>
                <w:szCs w:val="18"/>
                <w:color w:val="auto"/>
              </w:rPr>
            </w:pPr>
          </w:p>
        </w:tc>
        <w:tc>
          <w:tcPr>
            <w:tcW w:w="1180" w:type="dxa"/>
            <w:vAlign w:val="bottom"/>
            <w:tcBorders>
              <w:top w:val="single" w:sz="8" w:color="0563C1"/>
            </w:tcBorders>
            <w:shd w:val="clear" w:color="auto" w:fill="CCEEFF"/>
          </w:tcPr>
          <w:p>
            <w:pPr>
              <w:spacing w:after="0"/>
              <w:rPr>
                <w:sz w:val="18"/>
                <w:szCs w:val="18"/>
                <w:color w:val="auto"/>
              </w:rPr>
            </w:pPr>
          </w:p>
        </w:tc>
        <w:tc>
          <w:tcPr>
            <w:tcW w:w="560" w:type="dxa"/>
            <w:vAlign w:val="bottom"/>
            <w:tcBorders>
              <w:top w:val="single" w:sz="8" w:color="0563C1"/>
            </w:tcBorders>
            <w:shd w:val="clear" w:color="auto" w:fill="CCEEFF"/>
          </w:tcPr>
          <w:p>
            <w:pPr>
              <w:spacing w:after="0"/>
              <w:rPr>
                <w:sz w:val="18"/>
                <w:szCs w:val="18"/>
                <w:color w:val="auto"/>
              </w:rPr>
            </w:pPr>
          </w:p>
        </w:tc>
        <w:tc>
          <w:tcPr>
            <w:tcW w:w="500" w:type="dxa"/>
            <w:vAlign w:val="bottom"/>
            <w:tcBorders>
              <w:top w:val="single" w:sz="8" w:color="0563C1"/>
            </w:tcBorders>
            <w:shd w:val="clear" w:color="auto" w:fill="CCEEFF"/>
          </w:tcPr>
          <w:p>
            <w:pPr>
              <w:spacing w:after="0"/>
              <w:rPr>
                <w:sz w:val="18"/>
                <w:szCs w:val="18"/>
                <w:color w:val="auto"/>
              </w:rPr>
            </w:pPr>
          </w:p>
        </w:tc>
        <w:tc>
          <w:tcPr>
            <w:tcW w:w="120" w:type="dxa"/>
            <w:vAlign w:val="bottom"/>
            <w:tcBorders>
              <w:top w:val="single" w:sz="8" w:color="0563C1"/>
            </w:tcBorders>
            <w:shd w:val="clear" w:color="auto" w:fill="CCEEFF"/>
          </w:tcPr>
          <w:p>
            <w:pPr>
              <w:spacing w:after="0"/>
              <w:rPr>
                <w:sz w:val="18"/>
                <w:szCs w:val="18"/>
                <w:color w:val="auto"/>
              </w:rPr>
            </w:pPr>
          </w:p>
        </w:tc>
        <w:tc>
          <w:tcPr>
            <w:tcW w:w="1240" w:type="dxa"/>
            <w:vAlign w:val="bottom"/>
            <w:tcBorders>
              <w:top w:val="single" w:sz="8" w:color="0563C1"/>
            </w:tcBorders>
            <w:shd w:val="clear" w:color="auto" w:fill="CCEEFF"/>
          </w:tcPr>
          <w:p>
            <w:pPr>
              <w:spacing w:after="0"/>
              <w:rPr>
                <w:sz w:val="18"/>
                <w:szCs w:val="18"/>
                <w:color w:val="auto"/>
              </w:rPr>
            </w:pPr>
          </w:p>
        </w:tc>
        <w:tc>
          <w:tcPr>
            <w:tcW w:w="820" w:type="dxa"/>
            <w:vAlign w:val="bottom"/>
            <w:tcBorders>
              <w:top w:val="single" w:sz="8" w:color="0563C1"/>
            </w:tcBorders>
            <w:shd w:val="clear" w:color="auto" w:fill="CCEEFF"/>
          </w:tcPr>
          <w:p>
            <w:pPr>
              <w:spacing w:after="0"/>
              <w:rPr>
                <w:sz w:val="18"/>
                <w:szCs w:val="18"/>
                <w:color w:val="auto"/>
              </w:rPr>
            </w:pPr>
          </w:p>
        </w:tc>
        <w:tc>
          <w:tcPr>
            <w:tcW w:w="540" w:type="dxa"/>
            <w:vAlign w:val="bottom"/>
            <w:tcBorders>
              <w:top w:val="single" w:sz="8" w:color="0563C1"/>
            </w:tcBorders>
            <w:shd w:val="clear" w:color="auto" w:fill="CCEEFF"/>
          </w:tcPr>
          <w:p>
            <w:pPr>
              <w:spacing w:after="0"/>
              <w:rPr>
                <w:sz w:val="18"/>
                <w:szCs w:val="18"/>
                <w:color w:val="auto"/>
              </w:rPr>
            </w:pPr>
          </w:p>
        </w:tc>
        <w:tc>
          <w:tcPr>
            <w:tcW w:w="8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898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w w:val="99"/>
              </w:rPr>
              <w:t>Condensed Consolidated Statements of Equity (unaudited) – Three and Nine Months Ended September 30,</w:t>
            </w:r>
          </w:p>
        </w:tc>
        <w:tc>
          <w:tcPr>
            <w:tcW w:w="1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1"/>
                <w:szCs w:val="21"/>
                <w:color w:val="auto"/>
              </w:rPr>
              <w:t>7</w:t>
            </w: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0563C1"/>
            </w:tcBorders>
            <w:gridSpan w:val="5"/>
            <w:shd w:val="clear" w:color="auto" w:fill="CCEEFF"/>
          </w:tcPr>
          <w:p>
            <w:pPr>
              <w:ind w:left="320"/>
              <w:spacing w:after="0" w:line="210" w:lineRule="exact"/>
              <w:rPr>
                <w:sz w:val="20"/>
                <w:szCs w:val="20"/>
                <w:color w:val="auto"/>
              </w:rPr>
            </w:pPr>
            <w:r>
              <w:rPr>
                <w:rFonts w:ascii="Times New Roman" w:cs="Times New Roman" w:eastAsia="Times New Roman" w:hAnsi="Times New Roman"/>
                <w:sz w:val="21"/>
                <w:szCs w:val="21"/>
                <w:color w:val="0563C1"/>
                <w:w w:val="95"/>
              </w:rPr>
              <w:t>2025</w:t>
            </w:r>
          </w:p>
        </w:tc>
        <w:tc>
          <w:tcPr>
            <w:tcW w:w="60" w:type="dxa"/>
            <w:vAlign w:val="bottom"/>
            <w:tcBorders>
              <w:top w:val="single" w:sz="8" w:color="0563C1"/>
            </w:tcBorders>
            <w:shd w:val="clear" w:color="auto" w:fill="CCEEFF"/>
          </w:tcPr>
          <w:p>
            <w:pPr>
              <w:spacing w:after="0"/>
              <w:rPr>
                <w:sz w:val="18"/>
                <w:szCs w:val="18"/>
                <w:color w:val="auto"/>
              </w:rPr>
            </w:pPr>
          </w:p>
        </w:tc>
        <w:tc>
          <w:tcPr>
            <w:tcW w:w="280" w:type="dxa"/>
            <w:vAlign w:val="bottom"/>
            <w:tcBorders>
              <w:top w:val="single" w:sz="8" w:color="0563C1"/>
            </w:tcBorders>
            <w:shd w:val="clear" w:color="auto" w:fill="CCEEFF"/>
          </w:tcPr>
          <w:p>
            <w:pPr>
              <w:spacing w:after="0"/>
              <w:rPr>
                <w:sz w:val="18"/>
                <w:szCs w:val="18"/>
                <w:color w:val="auto"/>
              </w:rPr>
            </w:pPr>
          </w:p>
        </w:tc>
        <w:tc>
          <w:tcPr>
            <w:tcW w:w="140" w:type="dxa"/>
            <w:vAlign w:val="bottom"/>
            <w:tcBorders>
              <w:top w:val="single" w:sz="8" w:color="0563C1"/>
            </w:tcBorders>
            <w:shd w:val="clear" w:color="auto" w:fill="CCEEFF"/>
          </w:tcPr>
          <w:p>
            <w:pPr>
              <w:spacing w:after="0"/>
              <w:rPr>
                <w:sz w:val="18"/>
                <w:szCs w:val="18"/>
                <w:color w:val="auto"/>
              </w:rPr>
            </w:pPr>
          </w:p>
        </w:tc>
        <w:tc>
          <w:tcPr>
            <w:tcW w:w="320" w:type="dxa"/>
            <w:vAlign w:val="bottom"/>
            <w:tcBorders>
              <w:top w:val="single" w:sz="8" w:color="0563C1"/>
            </w:tcBorders>
            <w:shd w:val="clear" w:color="auto" w:fill="CCEEFF"/>
          </w:tcPr>
          <w:p>
            <w:pPr>
              <w:spacing w:after="0"/>
              <w:rPr>
                <w:sz w:val="18"/>
                <w:szCs w:val="18"/>
                <w:color w:val="auto"/>
              </w:rPr>
            </w:pPr>
          </w:p>
        </w:tc>
        <w:tc>
          <w:tcPr>
            <w:tcW w:w="40" w:type="dxa"/>
            <w:vAlign w:val="bottom"/>
            <w:tcBorders>
              <w:top w:val="single" w:sz="8" w:color="0563C1"/>
            </w:tcBorders>
            <w:shd w:val="clear" w:color="auto" w:fill="CCEEFF"/>
          </w:tcPr>
          <w:p>
            <w:pPr>
              <w:spacing w:after="0"/>
              <w:rPr>
                <w:sz w:val="18"/>
                <w:szCs w:val="18"/>
                <w:color w:val="auto"/>
              </w:rPr>
            </w:pPr>
          </w:p>
        </w:tc>
        <w:tc>
          <w:tcPr>
            <w:tcW w:w="240" w:type="dxa"/>
            <w:vAlign w:val="bottom"/>
            <w:tcBorders>
              <w:top w:val="single" w:sz="8" w:color="0563C1"/>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1300" w:type="dxa"/>
            <w:vAlign w:val="bottom"/>
            <w:tcBorders>
              <w:top w:val="single" w:sz="8" w:color="0563C1"/>
            </w:tcBorders>
            <w:shd w:val="clear" w:color="auto" w:fill="CCEEFF"/>
          </w:tcPr>
          <w:p>
            <w:pPr>
              <w:spacing w:after="0"/>
              <w:rPr>
                <w:sz w:val="18"/>
                <w:szCs w:val="18"/>
                <w:color w:val="auto"/>
              </w:rPr>
            </w:pPr>
          </w:p>
        </w:tc>
        <w:tc>
          <w:tcPr>
            <w:tcW w:w="360" w:type="dxa"/>
            <w:vAlign w:val="bottom"/>
            <w:tcBorders>
              <w:top w:val="single" w:sz="8" w:color="0563C1"/>
            </w:tcBorders>
            <w:shd w:val="clear" w:color="auto" w:fill="CCEEFF"/>
          </w:tcPr>
          <w:p>
            <w:pPr>
              <w:spacing w:after="0"/>
              <w:rPr>
                <w:sz w:val="18"/>
                <w:szCs w:val="18"/>
                <w:color w:val="auto"/>
              </w:rPr>
            </w:pPr>
          </w:p>
        </w:tc>
        <w:tc>
          <w:tcPr>
            <w:tcW w:w="120" w:type="dxa"/>
            <w:vAlign w:val="bottom"/>
            <w:tcBorders>
              <w:top w:val="single" w:sz="8" w:color="0563C1"/>
            </w:tcBorders>
            <w:shd w:val="clear" w:color="auto" w:fill="CCEEFF"/>
          </w:tcPr>
          <w:p>
            <w:pPr>
              <w:spacing w:after="0"/>
              <w:rPr>
                <w:sz w:val="18"/>
                <w:szCs w:val="18"/>
                <w:color w:val="auto"/>
              </w:rPr>
            </w:pPr>
          </w:p>
        </w:tc>
        <w:tc>
          <w:tcPr>
            <w:tcW w:w="1180" w:type="dxa"/>
            <w:vAlign w:val="bottom"/>
            <w:tcBorders>
              <w:top w:val="single" w:sz="8" w:color="0563C1"/>
            </w:tcBorders>
            <w:shd w:val="clear" w:color="auto" w:fill="CCEEFF"/>
          </w:tcPr>
          <w:p>
            <w:pPr>
              <w:spacing w:after="0"/>
              <w:rPr>
                <w:sz w:val="18"/>
                <w:szCs w:val="18"/>
                <w:color w:val="auto"/>
              </w:rPr>
            </w:pPr>
          </w:p>
        </w:tc>
        <w:tc>
          <w:tcPr>
            <w:tcW w:w="560" w:type="dxa"/>
            <w:vAlign w:val="bottom"/>
            <w:tcBorders>
              <w:top w:val="single" w:sz="8" w:color="0563C1"/>
            </w:tcBorders>
            <w:shd w:val="clear" w:color="auto" w:fill="CCEEFF"/>
          </w:tcPr>
          <w:p>
            <w:pPr>
              <w:spacing w:after="0"/>
              <w:rPr>
                <w:sz w:val="18"/>
                <w:szCs w:val="18"/>
                <w:color w:val="auto"/>
              </w:rPr>
            </w:pPr>
          </w:p>
        </w:tc>
        <w:tc>
          <w:tcPr>
            <w:tcW w:w="500" w:type="dxa"/>
            <w:vAlign w:val="bottom"/>
            <w:tcBorders>
              <w:top w:val="single" w:sz="8" w:color="0563C1"/>
            </w:tcBorders>
            <w:shd w:val="clear" w:color="auto" w:fill="CCEEFF"/>
          </w:tcPr>
          <w:p>
            <w:pPr>
              <w:spacing w:after="0"/>
              <w:rPr>
                <w:sz w:val="18"/>
                <w:szCs w:val="18"/>
                <w:color w:val="auto"/>
              </w:rPr>
            </w:pPr>
          </w:p>
        </w:tc>
        <w:tc>
          <w:tcPr>
            <w:tcW w:w="120" w:type="dxa"/>
            <w:vAlign w:val="bottom"/>
            <w:tcBorders>
              <w:top w:val="single" w:sz="8" w:color="0563C1"/>
            </w:tcBorders>
            <w:shd w:val="clear" w:color="auto" w:fill="CCEEFF"/>
          </w:tcPr>
          <w:p>
            <w:pPr>
              <w:spacing w:after="0"/>
              <w:rPr>
                <w:sz w:val="18"/>
                <w:szCs w:val="18"/>
                <w:color w:val="auto"/>
              </w:rPr>
            </w:pPr>
          </w:p>
        </w:tc>
        <w:tc>
          <w:tcPr>
            <w:tcW w:w="1240" w:type="dxa"/>
            <w:vAlign w:val="bottom"/>
            <w:tcBorders>
              <w:top w:val="single" w:sz="8" w:color="0563C1"/>
            </w:tcBorders>
            <w:shd w:val="clear" w:color="auto" w:fill="CCEEFF"/>
          </w:tcPr>
          <w:p>
            <w:pPr>
              <w:spacing w:after="0"/>
              <w:rPr>
                <w:sz w:val="18"/>
                <w:szCs w:val="18"/>
                <w:color w:val="auto"/>
              </w:rPr>
            </w:pPr>
          </w:p>
        </w:tc>
        <w:tc>
          <w:tcPr>
            <w:tcW w:w="820" w:type="dxa"/>
            <w:vAlign w:val="bottom"/>
            <w:tcBorders>
              <w:top w:val="single" w:sz="8" w:color="0563C1"/>
            </w:tcBorders>
            <w:shd w:val="clear" w:color="auto" w:fill="CCEEFF"/>
          </w:tcPr>
          <w:p>
            <w:pPr>
              <w:spacing w:after="0"/>
              <w:rPr>
                <w:sz w:val="18"/>
                <w:szCs w:val="18"/>
                <w:color w:val="auto"/>
              </w:rPr>
            </w:pPr>
          </w:p>
        </w:tc>
        <w:tc>
          <w:tcPr>
            <w:tcW w:w="540" w:type="dxa"/>
            <w:vAlign w:val="bottom"/>
            <w:tcBorders>
              <w:top w:val="single" w:sz="8" w:color="0563C1"/>
            </w:tcBorders>
            <w:shd w:val="clear" w:color="auto" w:fill="CCEEFF"/>
          </w:tcPr>
          <w:p>
            <w:pPr>
              <w:spacing w:after="0"/>
              <w:rPr>
                <w:sz w:val="18"/>
                <w:szCs w:val="18"/>
                <w:color w:val="auto"/>
              </w:rPr>
            </w:pPr>
          </w:p>
        </w:tc>
        <w:tc>
          <w:tcPr>
            <w:tcW w:w="8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898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w w:val="99"/>
              </w:rPr>
              <w:t>Condensed Consolidated Statements of Equity (unaudited) – Three and Nine Months Ended September 30,</w:t>
            </w:r>
          </w:p>
        </w:tc>
        <w:tc>
          <w:tcPr>
            <w:tcW w:w="1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1"/>
                <w:szCs w:val="21"/>
                <w:color w:val="auto"/>
              </w:rPr>
              <w:t>8</w:t>
            </w: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0563C1"/>
            </w:tcBorders>
            <w:gridSpan w:val="6"/>
            <w:shd w:val="clear" w:color="auto" w:fill="CCEEFF"/>
          </w:tcPr>
          <w:p>
            <w:pPr>
              <w:ind w:left="380"/>
              <w:spacing w:after="0" w:line="210" w:lineRule="exact"/>
              <w:rPr>
                <w:sz w:val="20"/>
                <w:szCs w:val="20"/>
                <w:color w:val="auto"/>
              </w:rPr>
            </w:pPr>
            <w:r>
              <w:rPr>
                <w:rFonts w:ascii="Times New Roman" w:cs="Times New Roman" w:eastAsia="Times New Roman" w:hAnsi="Times New Roman"/>
                <w:sz w:val="21"/>
                <w:szCs w:val="21"/>
                <w:color w:val="0563C1"/>
                <w:w w:val="95"/>
              </w:rPr>
              <w:t>2024</w:t>
            </w:r>
          </w:p>
        </w:tc>
        <w:tc>
          <w:tcPr>
            <w:tcW w:w="280" w:type="dxa"/>
            <w:vAlign w:val="bottom"/>
            <w:tcBorders>
              <w:top w:val="single" w:sz="8" w:color="0563C1"/>
            </w:tcBorders>
            <w:shd w:val="clear" w:color="auto" w:fill="CCEEFF"/>
          </w:tcPr>
          <w:p>
            <w:pPr>
              <w:spacing w:after="0"/>
              <w:rPr>
                <w:sz w:val="18"/>
                <w:szCs w:val="18"/>
                <w:color w:val="auto"/>
              </w:rPr>
            </w:pPr>
          </w:p>
        </w:tc>
        <w:tc>
          <w:tcPr>
            <w:tcW w:w="140" w:type="dxa"/>
            <w:vAlign w:val="bottom"/>
            <w:tcBorders>
              <w:top w:val="single" w:sz="8" w:color="0563C1"/>
            </w:tcBorders>
            <w:shd w:val="clear" w:color="auto" w:fill="CCEEFF"/>
          </w:tcPr>
          <w:p>
            <w:pPr>
              <w:spacing w:after="0"/>
              <w:rPr>
                <w:sz w:val="18"/>
                <w:szCs w:val="18"/>
                <w:color w:val="auto"/>
              </w:rPr>
            </w:pPr>
          </w:p>
        </w:tc>
        <w:tc>
          <w:tcPr>
            <w:tcW w:w="320" w:type="dxa"/>
            <w:vAlign w:val="bottom"/>
            <w:tcBorders>
              <w:top w:val="single" w:sz="8" w:color="0563C1"/>
            </w:tcBorders>
            <w:shd w:val="clear" w:color="auto" w:fill="CCEEFF"/>
          </w:tcPr>
          <w:p>
            <w:pPr>
              <w:spacing w:after="0"/>
              <w:rPr>
                <w:sz w:val="18"/>
                <w:szCs w:val="18"/>
                <w:color w:val="auto"/>
              </w:rPr>
            </w:pPr>
          </w:p>
        </w:tc>
        <w:tc>
          <w:tcPr>
            <w:tcW w:w="40" w:type="dxa"/>
            <w:vAlign w:val="bottom"/>
            <w:tcBorders>
              <w:top w:val="single" w:sz="8" w:color="0563C1"/>
            </w:tcBorders>
            <w:shd w:val="clear" w:color="auto" w:fill="CCEEFF"/>
          </w:tcPr>
          <w:p>
            <w:pPr>
              <w:spacing w:after="0"/>
              <w:rPr>
                <w:sz w:val="18"/>
                <w:szCs w:val="18"/>
                <w:color w:val="auto"/>
              </w:rPr>
            </w:pPr>
          </w:p>
        </w:tc>
        <w:tc>
          <w:tcPr>
            <w:tcW w:w="240" w:type="dxa"/>
            <w:vAlign w:val="bottom"/>
            <w:tcBorders>
              <w:top w:val="single" w:sz="8" w:color="0563C1"/>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1300" w:type="dxa"/>
            <w:vAlign w:val="bottom"/>
            <w:tcBorders>
              <w:top w:val="single" w:sz="8" w:color="0563C1"/>
            </w:tcBorders>
            <w:shd w:val="clear" w:color="auto" w:fill="CCEEFF"/>
          </w:tcPr>
          <w:p>
            <w:pPr>
              <w:spacing w:after="0"/>
              <w:rPr>
                <w:sz w:val="18"/>
                <w:szCs w:val="18"/>
                <w:color w:val="auto"/>
              </w:rPr>
            </w:pPr>
          </w:p>
        </w:tc>
        <w:tc>
          <w:tcPr>
            <w:tcW w:w="360" w:type="dxa"/>
            <w:vAlign w:val="bottom"/>
            <w:tcBorders>
              <w:top w:val="single" w:sz="8" w:color="0563C1"/>
            </w:tcBorders>
            <w:shd w:val="clear" w:color="auto" w:fill="CCEEFF"/>
          </w:tcPr>
          <w:p>
            <w:pPr>
              <w:spacing w:after="0"/>
              <w:rPr>
                <w:sz w:val="18"/>
                <w:szCs w:val="18"/>
                <w:color w:val="auto"/>
              </w:rPr>
            </w:pPr>
          </w:p>
        </w:tc>
        <w:tc>
          <w:tcPr>
            <w:tcW w:w="120" w:type="dxa"/>
            <w:vAlign w:val="bottom"/>
            <w:tcBorders>
              <w:top w:val="single" w:sz="8" w:color="0563C1"/>
            </w:tcBorders>
            <w:shd w:val="clear" w:color="auto" w:fill="CCEEFF"/>
          </w:tcPr>
          <w:p>
            <w:pPr>
              <w:spacing w:after="0"/>
              <w:rPr>
                <w:sz w:val="18"/>
                <w:szCs w:val="18"/>
                <w:color w:val="auto"/>
              </w:rPr>
            </w:pPr>
          </w:p>
        </w:tc>
        <w:tc>
          <w:tcPr>
            <w:tcW w:w="1180" w:type="dxa"/>
            <w:vAlign w:val="bottom"/>
            <w:tcBorders>
              <w:top w:val="single" w:sz="8" w:color="0563C1"/>
            </w:tcBorders>
            <w:shd w:val="clear" w:color="auto" w:fill="CCEEFF"/>
          </w:tcPr>
          <w:p>
            <w:pPr>
              <w:spacing w:after="0"/>
              <w:rPr>
                <w:sz w:val="18"/>
                <w:szCs w:val="18"/>
                <w:color w:val="auto"/>
              </w:rPr>
            </w:pPr>
          </w:p>
        </w:tc>
        <w:tc>
          <w:tcPr>
            <w:tcW w:w="560" w:type="dxa"/>
            <w:vAlign w:val="bottom"/>
            <w:tcBorders>
              <w:top w:val="single" w:sz="8" w:color="0563C1"/>
            </w:tcBorders>
            <w:shd w:val="clear" w:color="auto" w:fill="CCEEFF"/>
          </w:tcPr>
          <w:p>
            <w:pPr>
              <w:spacing w:after="0"/>
              <w:rPr>
                <w:sz w:val="18"/>
                <w:szCs w:val="18"/>
                <w:color w:val="auto"/>
              </w:rPr>
            </w:pPr>
          </w:p>
        </w:tc>
        <w:tc>
          <w:tcPr>
            <w:tcW w:w="500" w:type="dxa"/>
            <w:vAlign w:val="bottom"/>
            <w:tcBorders>
              <w:top w:val="single" w:sz="8" w:color="0563C1"/>
            </w:tcBorders>
            <w:shd w:val="clear" w:color="auto" w:fill="CCEEFF"/>
          </w:tcPr>
          <w:p>
            <w:pPr>
              <w:spacing w:after="0"/>
              <w:rPr>
                <w:sz w:val="18"/>
                <w:szCs w:val="18"/>
                <w:color w:val="auto"/>
              </w:rPr>
            </w:pPr>
          </w:p>
        </w:tc>
        <w:tc>
          <w:tcPr>
            <w:tcW w:w="120" w:type="dxa"/>
            <w:vAlign w:val="bottom"/>
            <w:tcBorders>
              <w:top w:val="single" w:sz="8" w:color="0563C1"/>
            </w:tcBorders>
            <w:shd w:val="clear" w:color="auto" w:fill="CCEEFF"/>
          </w:tcPr>
          <w:p>
            <w:pPr>
              <w:spacing w:after="0"/>
              <w:rPr>
                <w:sz w:val="18"/>
                <w:szCs w:val="18"/>
                <w:color w:val="auto"/>
              </w:rPr>
            </w:pPr>
          </w:p>
        </w:tc>
        <w:tc>
          <w:tcPr>
            <w:tcW w:w="1240" w:type="dxa"/>
            <w:vAlign w:val="bottom"/>
            <w:tcBorders>
              <w:top w:val="single" w:sz="8" w:color="0563C1"/>
            </w:tcBorders>
            <w:shd w:val="clear" w:color="auto" w:fill="CCEEFF"/>
          </w:tcPr>
          <w:p>
            <w:pPr>
              <w:spacing w:after="0"/>
              <w:rPr>
                <w:sz w:val="18"/>
                <w:szCs w:val="18"/>
                <w:color w:val="auto"/>
              </w:rPr>
            </w:pPr>
          </w:p>
        </w:tc>
        <w:tc>
          <w:tcPr>
            <w:tcW w:w="820" w:type="dxa"/>
            <w:vAlign w:val="bottom"/>
            <w:tcBorders>
              <w:top w:val="single" w:sz="8" w:color="0563C1"/>
            </w:tcBorders>
            <w:shd w:val="clear" w:color="auto" w:fill="CCEEFF"/>
          </w:tcPr>
          <w:p>
            <w:pPr>
              <w:spacing w:after="0"/>
              <w:rPr>
                <w:sz w:val="18"/>
                <w:szCs w:val="18"/>
                <w:color w:val="auto"/>
              </w:rPr>
            </w:pPr>
          </w:p>
        </w:tc>
        <w:tc>
          <w:tcPr>
            <w:tcW w:w="540" w:type="dxa"/>
            <w:vAlign w:val="bottom"/>
            <w:tcBorders>
              <w:top w:val="single" w:sz="8" w:color="0563C1"/>
            </w:tcBorders>
            <w:shd w:val="clear" w:color="auto" w:fill="CCEEFF"/>
          </w:tcPr>
          <w:p>
            <w:pPr>
              <w:spacing w:after="0"/>
              <w:rPr>
                <w:sz w:val="18"/>
                <w:szCs w:val="18"/>
                <w:color w:val="auto"/>
              </w:rPr>
            </w:pPr>
          </w:p>
        </w:tc>
        <w:tc>
          <w:tcPr>
            <w:tcW w:w="8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898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Condensed Consolidated Statements of Cash Flow (unaudited) – Nine Months Ended September 30, 2025</w:t>
            </w:r>
          </w:p>
        </w:tc>
        <w:tc>
          <w:tcPr>
            <w:tcW w:w="1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1"/>
                <w:szCs w:val="21"/>
                <w:color w:val="auto"/>
              </w:rPr>
              <w:t>9</w:t>
            </w: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563C1"/>
            </w:tcBorders>
            <w:shd w:val="clear" w:color="auto" w:fill="CCEEFF"/>
          </w:tcPr>
          <w:p>
            <w:pPr>
              <w:spacing w:after="0"/>
              <w:rPr>
                <w:sz w:val="18"/>
                <w:szCs w:val="18"/>
                <w:color w:val="auto"/>
              </w:rPr>
            </w:pPr>
          </w:p>
        </w:tc>
        <w:tc>
          <w:tcPr>
            <w:tcW w:w="100" w:type="dxa"/>
            <w:vAlign w:val="bottom"/>
            <w:tcBorders>
              <w:top w:val="single" w:sz="8" w:color="0563C1"/>
            </w:tcBorders>
            <w:shd w:val="clear" w:color="auto" w:fill="CCEEFF"/>
          </w:tcPr>
          <w:p>
            <w:pPr>
              <w:spacing w:after="0"/>
              <w:rPr>
                <w:sz w:val="18"/>
                <w:szCs w:val="18"/>
                <w:color w:val="auto"/>
              </w:rPr>
            </w:pPr>
          </w:p>
        </w:tc>
        <w:tc>
          <w:tcPr>
            <w:tcW w:w="8500" w:type="dxa"/>
            <w:vAlign w:val="bottom"/>
            <w:tcBorders>
              <w:top w:val="single" w:sz="8" w:color="0563C1"/>
            </w:tcBorders>
            <w:gridSpan w:val="20"/>
            <w:shd w:val="clear" w:color="auto" w:fill="CCEEFF"/>
          </w:tcPr>
          <w:p>
            <w:pPr>
              <w:spacing w:after="0" w:line="210" w:lineRule="exact"/>
              <w:rPr>
                <w:sz w:val="20"/>
                <w:szCs w:val="20"/>
                <w:color w:val="auto"/>
              </w:rPr>
            </w:pPr>
            <w:r>
              <w:rPr>
                <w:rFonts w:ascii="Times New Roman" w:cs="Times New Roman" w:eastAsia="Times New Roman" w:hAnsi="Times New Roman"/>
                <w:sz w:val="21"/>
                <w:szCs w:val="21"/>
                <w:color w:val="0563C1"/>
              </w:rPr>
              <w:t>and 2024</w:t>
            </w:r>
          </w:p>
        </w:tc>
        <w:tc>
          <w:tcPr>
            <w:tcW w:w="160" w:type="dxa"/>
            <w:vAlign w:val="bottom"/>
            <w:tcBorders>
              <w:top w:val="single" w:sz="8" w:color="CCEEFF"/>
            </w:tcBorders>
            <w:gridSpan w:val="3"/>
            <w:shd w:val="clear" w:color="auto" w:fill="CCEEFF"/>
          </w:tcPr>
          <w:p>
            <w:pPr>
              <w:spacing w:after="0"/>
              <w:rPr>
                <w:sz w:val="18"/>
                <w:szCs w:val="18"/>
                <w:color w:val="auto"/>
              </w:rPr>
            </w:pPr>
          </w:p>
        </w:tc>
        <w:tc>
          <w:tcPr>
            <w:tcW w:w="1700" w:type="dxa"/>
            <w:vAlign w:val="bottom"/>
            <w:tcBorders>
              <w:top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898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Notes to Condensed Consolidated Financial Statements (unaudited)</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30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18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2.</w:t>
            </w:r>
          </w:p>
        </w:tc>
        <w:tc>
          <w:tcPr>
            <w:tcW w:w="8980" w:type="dxa"/>
            <w:vAlign w:val="bottom"/>
            <w:gridSpan w:val="25"/>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Management’s Discussion and Analysis of Financial Condition and Results of Operations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32</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30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18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5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3.</w:t>
            </w:r>
          </w:p>
        </w:tc>
        <w:tc>
          <w:tcPr>
            <w:tcW w:w="8980" w:type="dxa"/>
            <w:vAlign w:val="bottom"/>
            <w:gridSpan w:val="25"/>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Quantitative and Qualitative Disclosures About Market Risk</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48</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30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180" w:type="dxa"/>
            <w:vAlign w:val="bottom"/>
            <w:tcBorders>
              <w:top w:val="single" w:sz="8" w:color="0563C1"/>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4.</w:t>
            </w:r>
          </w:p>
        </w:tc>
        <w:tc>
          <w:tcPr>
            <w:tcW w:w="8980" w:type="dxa"/>
            <w:vAlign w:val="bottom"/>
            <w:gridSpan w:val="25"/>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Controls and Procedures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48</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20" w:type="dxa"/>
            <w:vAlign w:val="bottom"/>
            <w:gridSpan w:val="10"/>
            <w:shd w:val="clear" w:color="auto" w:fill="CCEEFF"/>
          </w:tcPr>
          <w:p>
            <w:pPr>
              <w:jc w:val="center"/>
              <w:ind w:right="2880"/>
              <w:spacing w:after="0" w:line="189" w:lineRule="exact"/>
              <w:rPr>
                <w:sz w:val="20"/>
                <w:szCs w:val="20"/>
                <w:color w:val="auto"/>
              </w:rPr>
            </w:pPr>
            <w:r>
              <w:rPr>
                <w:rFonts w:ascii="Times New Roman" w:cs="Times New Roman" w:eastAsia="Times New Roman" w:hAnsi="Times New Roman"/>
                <w:sz w:val="21"/>
                <w:szCs w:val="21"/>
                <w:color w:val="0563C1"/>
                <w:w w:val="98"/>
              </w:rPr>
              <w:t>Part II – Other Information</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50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1.</w:t>
            </w:r>
          </w:p>
        </w:tc>
        <w:tc>
          <w:tcPr>
            <w:tcW w:w="8980" w:type="dxa"/>
            <w:vAlign w:val="bottom"/>
            <w:gridSpan w:val="25"/>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Legal Proceedings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48</w:t>
            </w:r>
          </w:p>
        </w:tc>
        <w:tc>
          <w:tcPr>
            <w:tcW w:w="0" w:type="dxa"/>
            <w:vAlign w:val="bottom"/>
          </w:tcPr>
          <w:p>
            <w:pPr>
              <w:spacing w:after="0"/>
              <w:rPr>
                <w:sz w:val="1"/>
                <w:szCs w:val="1"/>
                <w:color w:val="auto"/>
              </w:rPr>
            </w:pPr>
          </w:p>
        </w:tc>
      </w:tr>
      <w:tr>
        <w:trPr>
          <w:trHeight w:val="230"/>
        </w:trPr>
        <w:tc>
          <w:tcPr>
            <w:tcW w:w="880" w:type="dxa"/>
            <w:vAlign w:val="bottom"/>
            <w:tcBorders>
              <w:top w:val="single" w:sz="8" w:color="0563C1"/>
            </w:tcBorders>
            <w:gridSpan w:val="2"/>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6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1A. Risk Factors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48</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5.</w:t>
            </w:r>
          </w:p>
        </w:tc>
        <w:tc>
          <w:tcPr>
            <w:tcW w:w="8980" w:type="dxa"/>
            <w:vAlign w:val="bottom"/>
            <w:gridSpan w:val="25"/>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Other Information</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52</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6.</w:t>
            </w:r>
          </w:p>
        </w:tc>
        <w:tc>
          <w:tcPr>
            <w:tcW w:w="8980" w:type="dxa"/>
            <w:vAlign w:val="bottom"/>
            <w:gridSpan w:val="25"/>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Exhibits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53</w:t>
            </w:r>
          </w:p>
        </w:tc>
        <w:tc>
          <w:tcPr>
            <w:tcW w:w="0" w:type="dxa"/>
            <w:vAlign w:val="bottom"/>
          </w:tcPr>
          <w:p>
            <w:pPr>
              <w:spacing w:after="0"/>
              <w:rPr>
                <w:sz w:val="1"/>
                <w:szCs w:val="1"/>
                <w:color w:val="auto"/>
              </w:rPr>
            </w:pPr>
          </w:p>
        </w:tc>
      </w:tr>
      <w:tr>
        <w:trPr>
          <w:trHeight w:val="229"/>
        </w:trPr>
        <w:tc>
          <w:tcPr>
            <w:tcW w:w="880" w:type="dxa"/>
            <w:vAlign w:val="bottom"/>
            <w:tcBorders>
              <w:top w:val="single" w:sz="8" w:color="0563C1"/>
            </w:tcBorders>
            <w:gridSpan w:val="2"/>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Signatures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55</w:t>
            </w:r>
          </w:p>
        </w:tc>
        <w:tc>
          <w:tcPr>
            <w:tcW w:w="0" w:type="dxa"/>
            <w:vAlign w:val="bottom"/>
          </w:tcPr>
          <w:p>
            <w:pPr>
              <w:spacing w:after="0"/>
              <w:rPr>
                <w:sz w:val="1"/>
                <w:szCs w:val="1"/>
                <w:color w:val="auto"/>
              </w:rPr>
            </w:pPr>
          </w:p>
        </w:tc>
      </w:tr>
      <w:tr>
        <w:trPr>
          <w:trHeight w:val="20"/>
        </w:trPr>
        <w:tc>
          <w:tcPr>
            <w:tcW w:w="660" w:type="dxa"/>
            <w:vAlign w:val="bottom"/>
            <w:tcBorders>
              <w:top w:val="single" w:sz="8" w:color="0563C1"/>
            </w:tcBorders>
            <w:shd w:val="clear" w:color="auto" w:fill="CCEEFF"/>
          </w:tcPr>
          <w:p>
            <w:pPr>
              <w:spacing w:after="0" w:line="20" w:lineRule="exact"/>
              <w:rPr>
                <w:sz w:val="1"/>
                <w:szCs w:val="1"/>
                <w:color w:val="auto"/>
              </w:rPr>
            </w:pPr>
          </w:p>
        </w:tc>
        <w:tc>
          <w:tcPr>
            <w:tcW w:w="220" w:type="dxa"/>
            <w:vAlign w:val="bottom"/>
            <w:tcBorders>
              <w:top w:val="single" w:sz="8" w:color="0563C1"/>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2"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8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CONDENSED CONSOLIDATED BALANCE SHEETS</w:t>
      </w:r>
    </w:p>
    <w:p>
      <w:pPr>
        <w:jc w:val="center"/>
        <w:ind w:right="-79"/>
        <w:spacing w:after="0" w:line="204"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6280" w:type="dxa"/>
            <w:vAlign w:val="bottom"/>
            <w:tcBorders>
              <w:bottom w:val="single" w:sz="8" w:color="CCEEFF"/>
            </w:tcBorders>
          </w:tcPr>
          <w:p>
            <w:pPr>
              <w:ind w:left="3800"/>
              <w:spacing w:after="0"/>
              <w:rPr>
                <w:sz w:val="20"/>
                <w:szCs w:val="20"/>
                <w:color w:val="auto"/>
              </w:rPr>
            </w:pPr>
            <w:r>
              <w:rPr>
                <w:rFonts w:ascii="Times New Roman" w:cs="Times New Roman" w:eastAsia="Times New Roman" w:hAnsi="Times New Roman"/>
                <w:sz w:val="18"/>
                <w:szCs w:val="18"/>
                <w:color w:val="auto"/>
              </w:rPr>
              <w:t>Assets</w:t>
            </w:r>
          </w:p>
        </w:tc>
        <w:tc>
          <w:tcPr>
            <w:tcW w:w="20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183"/>
        </w:trPr>
        <w:tc>
          <w:tcPr>
            <w:tcW w:w="62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plant and equipment, at cost</w:t>
            </w: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17,268,011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16,275,377</w:t>
            </w:r>
          </w:p>
        </w:tc>
      </w:tr>
      <w:tr>
        <w:trPr>
          <w:trHeight w:val="189"/>
        </w:trPr>
        <w:tc>
          <w:tcPr>
            <w:tcW w:w="62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2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3,368,492</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3,131,901</w:t>
            </w:r>
          </w:p>
        </w:tc>
      </w:tr>
      <w:tr>
        <w:trPr>
          <w:trHeight w:val="183"/>
        </w:trPr>
        <w:tc>
          <w:tcPr>
            <w:tcW w:w="62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property, plant and equipment</w:t>
            </w:r>
          </w:p>
        </w:tc>
        <w:tc>
          <w:tcPr>
            <w:tcW w:w="20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13,899,519</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13,143,476</w:t>
            </w:r>
          </w:p>
        </w:tc>
      </w:tr>
      <w:tr>
        <w:trPr>
          <w:trHeight w:val="183"/>
        </w:trPr>
        <w:tc>
          <w:tcPr>
            <w:tcW w:w="6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6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62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6,397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9,156</w:t>
            </w:r>
          </w:p>
        </w:tc>
      </w:tr>
      <w:tr>
        <w:trPr>
          <w:trHeight w:val="189"/>
        </w:trPr>
        <w:tc>
          <w:tcPr>
            <w:tcW w:w="62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Accounts receivable, net</w:t>
            </w: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154,688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166,522</w:t>
            </w:r>
          </w:p>
        </w:tc>
      </w:tr>
      <w:tr>
        <w:trPr>
          <w:trHeight w:val="189"/>
        </w:trPr>
        <w:tc>
          <w:tcPr>
            <w:tcW w:w="62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Unbilled revenues</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88,284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142,310</w:t>
            </w:r>
          </w:p>
        </w:tc>
      </w:tr>
      <w:tr>
        <w:trPr>
          <w:trHeight w:val="189"/>
        </w:trPr>
        <w:tc>
          <w:tcPr>
            <w:tcW w:w="62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Inventory - materials and supplies</w:t>
            </w: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51,997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48,619</w:t>
            </w:r>
          </w:p>
        </w:tc>
      </w:tr>
      <w:tr>
        <w:trPr>
          <w:trHeight w:val="189"/>
        </w:trPr>
        <w:tc>
          <w:tcPr>
            <w:tcW w:w="62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Inventory - gas stored</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71,647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45,311</w:t>
            </w:r>
          </w:p>
        </w:tc>
      </w:tr>
      <w:tr>
        <w:trPr>
          <w:trHeight w:val="189"/>
        </w:trPr>
        <w:tc>
          <w:tcPr>
            <w:tcW w:w="62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Prepayments and other current assets</w:t>
            </w: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28,171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41,139</w:t>
            </w:r>
          </w:p>
        </w:tc>
      </w:tr>
      <w:tr>
        <w:trPr>
          <w:trHeight w:val="189"/>
        </w:trPr>
        <w:tc>
          <w:tcPr>
            <w:tcW w:w="628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Regulatory assets</w:t>
            </w:r>
          </w:p>
        </w:tc>
        <w:tc>
          <w:tcPr>
            <w:tcW w:w="2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32,386</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32,854</w:t>
            </w:r>
          </w:p>
        </w:tc>
      </w:tr>
      <w:tr>
        <w:trPr>
          <w:trHeight w:val="183"/>
        </w:trPr>
        <w:tc>
          <w:tcPr>
            <w:tcW w:w="62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20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433,570</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485,911</w:t>
            </w:r>
          </w:p>
        </w:tc>
      </w:tr>
      <w:tr>
        <w:trPr>
          <w:trHeight w:val="183"/>
        </w:trPr>
        <w:tc>
          <w:tcPr>
            <w:tcW w:w="6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6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Regulatory assets</w:t>
            </w: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2,051,409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1,907,786</w:t>
            </w:r>
          </w:p>
        </w:tc>
      </w:tr>
      <w:tr>
        <w:trPr>
          <w:trHeight w:val="189"/>
        </w:trPr>
        <w:tc>
          <w:tcPr>
            <w:tcW w:w="6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Deferred charges and other assets, net</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128,401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112,712</w:t>
            </w:r>
          </w:p>
        </w:tc>
      </w:tr>
      <w:tr>
        <w:trPr>
          <w:trHeight w:val="189"/>
        </w:trPr>
        <w:tc>
          <w:tcPr>
            <w:tcW w:w="6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Funds restricted for construction activity</w:t>
            </w: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1,439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1,420</w:t>
            </w:r>
          </w:p>
        </w:tc>
      </w:tr>
      <w:tr>
        <w:trPr>
          <w:trHeight w:val="189"/>
        </w:trPr>
        <w:tc>
          <w:tcPr>
            <w:tcW w:w="6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Goodwill</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2,348,559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2,340,713</w:t>
            </w:r>
          </w:p>
        </w:tc>
      </w:tr>
      <w:tr>
        <w:trPr>
          <w:trHeight w:val="189"/>
        </w:trPr>
        <w:tc>
          <w:tcPr>
            <w:tcW w:w="6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27,200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31,263</w:t>
            </w:r>
          </w:p>
        </w:tc>
      </w:tr>
      <w:tr>
        <w:trPr>
          <w:trHeight w:val="189"/>
        </w:trPr>
        <w:tc>
          <w:tcPr>
            <w:tcW w:w="62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Intangible assets</w:t>
            </w:r>
          </w:p>
        </w:tc>
        <w:tc>
          <w:tcPr>
            <w:tcW w:w="2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3,035</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3,273</w:t>
            </w:r>
          </w:p>
        </w:tc>
      </w:tr>
      <w:tr>
        <w:trPr>
          <w:trHeight w:val="183"/>
        </w:trPr>
        <w:tc>
          <w:tcPr>
            <w:tcW w:w="62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18,893,132</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18,026,554</w:t>
            </w:r>
          </w:p>
        </w:tc>
      </w:tr>
      <w:tr>
        <w:trPr>
          <w:trHeight w:val="20"/>
        </w:trPr>
        <w:tc>
          <w:tcPr>
            <w:tcW w:w="6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4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BALANCE SHEETS (continued)</w:t>
      </w:r>
    </w:p>
    <w:p>
      <w:pPr>
        <w:jc w:val="center"/>
        <w:ind w:right="40"/>
        <w:spacing w:after="0" w:line="204"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21"/>
        </w:trPr>
        <w:tc>
          <w:tcPr>
            <w:tcW w:w="820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Liabilities and Equity</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r>
      <w:tr>
        <w:trPr>
          <w:trHeight w:val="183"/>
        </w:trPr>
        <w:tc>
          <w:tcPr>
            <w:tcW w:w="82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7"/>
        </w:trPr>
        <w:tc>
          <w:tcPr>
            <w:tcW w:w="820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8"/>
                <w:szCs w:val="18"/>
                <w:color w:val="auto"/>
              </w:rPr>
              <w:t>Common stock at $0.50 par value, authorized 600,000,000 shares, issued 286,390,638 and 278,209,660 as of</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34"/>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143,195</w:t>
            </w:r>
          </w:p>
        </w:tc>
        <w:tc>
          <w:tcPr>
            <w:tcW w:w="1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139,105</w:t>
            </w:r>
          </w:p>
        </w:tc>
      </w:tr>
      <w:tr>
        <w:trPr>
          <w:trHeight w:val="189"/>
        </w:trPr>
        <w:tc>
          <w:tcPr>
            <w:tcW w:w="82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4,519,304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4,199,836</w:t>
            </w:r>
          </w:p>
        </w:tc>
      </w:tr>
      <w:tr>
        <w:trPr>
          <w:trHeight w:val="189"/>
        </w:trPr>
        <w:tc>
          <w:tcPr>
            <w:tcW w:w="8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2,244,995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1,949,492</w:t>
            </w:r>
          </w:p>
        </w:tc>
      </w:tr>
      <w:tr>
        <w:trPr>
          <w:trHeight w:val="189"/>
        </w:trPr>
        <w:tc>
          <w:tcPr>
            <w:tcW w:w="82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Treasury stock, at cost, 3,429,012 and 3,386,069 shares as of September 30, 2025 and December 31, 2024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(91,195)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(89,624)</w:t>
            </w:r>
          </w:p>
        </w:tc>
      </w:tr>
      <w:tr>
        <w:trPr>
          <w:trHeight w:val="183"/>
        </w:trPr>
        <w:tc>
          <w:tcPr>
            <w:tcW w:w="82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6,816,299</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6,198,809</w:t>
            </w:r>
          </w:p>
        </w:tc>
      </w:tr>
      <w:tr>
        <w:trPr>
          <w:trHeight w:val="183"/>
        </w:trPr>
        <w:tc>
          <w:tcPr>
            <w:tcW w:w="8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9"/>
        </w:trPr>
        <w:tc>
          <w:tcPr>
            <w:tcW w:w="8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debt, excluding current portion</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7,742,240</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7,416,289</w:t>
            </w:r>
          </w:p>
        </w:tc>
      </w:tr>
      <w:tr>
        <w:trPr>
          <w:trHeight w:val="189"/>
        </w:trPr>
        <w:tc>
          <w:tcPr>
            <w:tcW w:w="82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Less: debt issuance costs and unamortized discount on debt</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50,149</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47,908</w:t>
            </w:r>
          </w:p>
        </w:tc>
      </w:tr>
      <w:tr>
        <w:trPr>
          <w:trHeight w:val="183"/>
        </w:trPr>
        <w:tc>
          <w:tcPr>
            <w:tcW w:w="82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 net of debt issuance costs and unamortized discount on debt</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7,692,091</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7,368,381</w:t>
            </w:r>
          </w:p>
        </w:tc>
      </w:tr>
      <w:tr>
        <w:trPr>
          <w:trHeight w:val="237"/>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76"/>
        </w:trPr>
        <w:tc>
          <w:tcPr>
            <w:tcW w:w="8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9"/>
        </w:trPr>
        <w:tc>
          <w:tcPr>
            <w:tcW w:w="8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82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135,763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142,807</w:t>
            </w:r>
          </w:p>
        </w:tc>
      </w:tr>
      <w:tr>
        <w:trPr>
          <w:trHeight w:val="189"/>
        </w:trPr>
        <w:tc>
          <w:tcPr>
            <w:tcW w:w="8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Loans payable</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96,366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186,542</w:t>
            </w:r>
          </w:p>
        </w:tc>
      </w:tr>
      <w:tr>
        <w:trPr>
          <w:trHeight w:val="189"/>
        </w:trPr>
        <w:tc>
          <w:tcPr>
            <w:tcW w:w="82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197,258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258,615</w:t>
            </w:r>
          </w:p>
        </w:tc>
      </w:tr>
      <w:tr>
        <w:trPr>
          <w:trHeight w:val="189"/>
        </w:trPr>
        <w:tc>
          <w:tcPr>
            <w:tcW w:w="8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Book overdraft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29,246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47,714</w:t>
            </w:r>
          </w:p>
        </w:tc>
      </w:tr>
      <w:tr>
        <w:trPr>
          <w:trHeight w:val="189"/>
        </w:trPr>
        <w:tc>
          <w:tcPr>
            <w:tcW w:w="82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92,778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72,281</w:t>
            </w:r>
          </w:p>
        </w:tc>
      </w:tr>
      <w:tr>
        <w:trPr>
          <w:trHeight w:val="189"/>
        </w:trPr>
        <w:tc>
          <w:tcPr>
            <w:tcW w:w="8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27,156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38,219</w:t>
            </w:r>
          </w:p>
        </w:tc>
      </w:tr>
      <w:tr>
        <w:trPr>
          <w:trHeight w:val="189"/>
        </w:trPr>
        <w:tc>
          <w:tcPr>
            <w:tcW w:w="82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Regulatory liabilities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740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1,770</w:t>
            </w:r>
          </w:p>
        </w:tc>
      </w:tr>
      <w:tr>
        <w:trPr>
          <w:trHeight w:val="189"/>
        </w:trPr>
        <w:tc>
          <w:tcPr>
            <w:tcW w:w="8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Dividends payable</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89,441</w:t>
            </w:r>
          </w:p>
        </w:tc>
      </w:tr>
      <w:tr>
        <w:trPr>
          <w:trHeight w:val="189"/>
        </w:trPr>
        <w:tc>
          <w:tcPr>
            <w:tcW w:w="820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148,803</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137,279</w:t>
            </w:r>
          </w:p>
        </w:tc>
      </w:tr>
      <w:tr>
        <w:trPr>
          <w:trHeight w:val="183"/>
        </w:trPr>
        <w:tc>
          <w:tcPr>
            <w:tcW w:w="82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728,110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974,668</w:t>
            </w:r>
          </w:p>
        </w:tc>
      </w:tr>
      <w:tr>
        <w:trPr>
          <w:trHeight w:val="183"/>
        </w:trPr>
        <w:tc>
          <w:tcPr>
            <w:tcW w:w="8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9"/>
        </w:trPr>
        <w:tc>
          <w:tcPr>
            <w:tcW w:w="8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credits and other liabilities: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82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Deferred income taxes and investment tax credits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2,011,269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1,831,868</w:t>
            </w:r>
          </w:p>
        </w:tc>
      </w:tr>
      <w:tr>
        <w:trPr>
          <w:trHeight w:val="189"/>
        </w:trPr>
        <w:tc>
          <w:tcPr>
            <w:tcW w:w="8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Customers' advances for construction</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117,396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113,323</w:t>
            </w:r>
          </w:p>
        </w:tc>
      </w:tr>
      <w:tr>
        <w:trPr>
          <w:trHeight w:val="189"/>
        </w:trPr>
        <w:tc>
          <w:tcPr>
            <w:tcW w:w="82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Regulatory liabilities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720,511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764,745</w:t>
            </w:r>
          </w:p>
        </w:tc>
      </w:tr>
      <w:tr>
        <w:trPr>
          <w:trHeight w:val="189"/>
        </w:trPr>
        <w:tc>
          <w:tcPr>
            <w:tcW w:w="8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23,004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27,447</w:t>
            </w:r>
          </w:p>
        </w:tc>
      </w:tr>
      <w:tr>
        <w:trPr>
          <w:trHeight w:val="189"/>
        </w:trPr>
        <w:tc>
          <w:tcPr>
            <w:tcW w:w="82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Pension and other postretirement benefit liabilities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36,025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33,680</w:t>
            </w:r>
          </w:p>
        </w:tc>
      </w:tr>
      <w:tr>
        <w:trPr>
          <w:trHeight w:val="189"/>
        </w:trPr>
        <w:tc>
          <w:tcPr>
            <w:tcW w:w="8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53,519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24,788</w:t>
            </w:r>
          </w:p>
        </w:tc>
      </w:tr>
      <w:tr>
        <w:trPr>
          <w:trHeight w:val="183"/>
        </w:trPr>
        <w:tc>
          <w:tcPr>
            <w:tcW w:w="82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deferred credits and other liabilities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2,961,724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2,795,851</w:t>
            </w:r>
          </w:p>
        </w:tc>
      </w:tr>
      <w:tr>
        <w:trPr>
          <w:trHeight w:val="183"/>
        </w:trPr>
        <w:tc>
          <w:tcPr>
            <w:tcW w:w="8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9"/>
        </w:trPr>
        <w:tc>
          <w:tcPr>
            <w:tcW w:w="8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Contributions in aid of construction</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694,908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688,845</w:t>
            </w:r>
          </w:p>
        </w:tc>
      </w:tr>
      <w:tr>
        <w:trPr>
          <w:trHeight w:val="183"/>
        </w:trPr>
        <w:tc>
          <w:tcPr>
            <w:tcW w:w="82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18,893,132</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18,026,554</w:t>
            </w: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CONDENSED CONSOLIDATED STATEMENTS OF OPERATIONS AND COMPREHENSIVE INCOME</w:t>
      </w:r>
    </w:p>
    <w:p>
      <w:pPr>
        <w:jc w:val="center"/>
        <w:ind w:right="40"/>
        <w:spacing w:after="0" w:line="192" w:lineRule="auto"/>
        <w:rPr>
          <w:sz w:val="20"/>
          <w:szCs w:val="20"/>
          <w:color w:val="auto"/>
        </w:rPr>
      </w:pPr>
      <w:r>
        <w:rPr>
          <w:rFonts w:ascii="Times New Roman" w:cs="Times New Roman" w:eastAsia="Times New Roman" w:hAnsi="Times New Roman"/>
          <w:sz w:val="19"/>
          <w:szCs w:val="19"/>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80" w:type="dxa"/>
            <w:vAlign w:val="bottom"/>
            <w:gridSpan w:val="4"/>
          </w:tcPr>
          <w:p>
            <w:pPr>
              <w:jc w:val="right"/>
              <w:ind w:right="752"/>
              <w:spacing w:after="0"/>
              <w:rPr>
                <w:sz w:val="20"/>
                <w:szCs w:val="20"/>
                <w:color w:val="auto"/>
              </w:rPr>
            </w:pPr>
            <w:r>
              <w:rPr>
                <w:rFonts w:ascii="Times New Roman" w:cs="Times New Roman" w:eastAsia="Times New Roman" w:hAnsi="Times New Roman"/>
                <w:sz w:val="22"/>
                <w:szCs w:val="22"/>
                <w:color w:val="auto"/>
              </w:rPr>
              <w:t>Three Months Ended</w:t>
            </w:r>
          </w:p>
        </w:tc>
        <w:tc>
          <w:tcPr>
            <w:tcW w:w="0" w:type="dxa"/>
            <w:vAlign w:val="bottom"/>
          </w:tcPr>
          <w:p>
            <w:pPr>
              <w:spacing w:after="0"/>
              <w:rPr>
                <w:sz w:val="1"/>
                <w:szCs w:val="1"/>
                <w:color w:val="auto"/>
              </w:rPr>
            </w:pPr>
          </w:p>
        </w:tc>
      </w:tr>
      <w:tr>
        <w:trPr>
          <w:trHeight w:val="257"/>
        </w:trPr>
        <w:tc>
          <w:tcPr>
            <w:tcW w:w="77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360" w:type="dxa"/>
            <w:vAlign w:val="bottom"/>
            <w:shd w:val="clear" w:color="auto" w:fill="CCEEFF"/>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476,971</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435,255</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Operations and maintenance</w:t>
            </w:r>
          </w:p>
        </w:tc>
        <w:tc>
          <w:tcPr>
            <w:tcW w:w="36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153,088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144,368</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22,506</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19,095</w:t>
            </w:r>
          </w:p>
        </w:tc>
        <w:tc>
          <w:tcPr>
            <w:tcW w:w="0" w:type="dxa"/>
            <w:vAlign w:val="bottom"/>
          </w:tcPr>
          <w:p>
            <w:pPr>
              <w:spacing w:after="0"/>
              <w:rPr>
                <w:sz w:val="1"/>
                <w:szCs w:val="1"/>
                <w:color w:val="auto"/>
              </w:rPr>
            </w:pPr>
          </w:p>
        </w:tc>
      </w:tr>
      <w:tr>
        <w:trPr>
          <w:trHeight w:val="230"/>
        </w:trPr>
        <w:tc>
          <w:tcPr>
            <w:tcW w:w="7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Depreciation</w:t>
            </w:r>
          </w:p>
        </w:tc>
        <w:tc>
          <w:tcPr>
            <w:tcW w:w="36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103,322</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91,448</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Amortization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3,744</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1,153</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24,540</w:t>
            </w: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24,102</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22"/>
                <w:szCs w:val="22"/>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307,200</w:t>
            </w:r>
          </w:p>
        </w:tc>
        <w:tc>
          <w:tcPr>
            <w:tcW w:w="2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280,166</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income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169,771</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155,089</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Other expense (income):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expense</w:t>
            </w:r>
          </w:p>
        </w:tc>
        <w:tc>
          <w:tcPr>
            <w:tcW w:w="36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82,269</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76,846</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income</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(1,079)</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(1,394)</w:t>
            </w:r>
          </w:p>
        </w:tc>
        <w:tc>
          <w:tcPr>
            <w:tcW w:w="0" w:type="dxa"/>
            <w:vAlign w:val="bottom"/>
          </w:tcPr>
          <w:p>
            <w:pPr>
              <w:spacing w:after="0"/>
              <w:rPr>
                <w:sz w:val="1"/>
                <w:szCs w:val="1"/>
                <w:color w:val="auto"/>
              </w:rPr>
            </w:pPr>
          </w:p>
        </w:tc>
      </w:tr>
      <w:tr>
        <w:trPr>
          <w:trHeight w:val="230"/>
        </w:trPr>
        <w:tc>
          <w:tcPr>
            <w:tcW w:w="7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360" w:type="dxa"/>
            <w:vAlign w:val="bottom"/>
          </w:tcPr>
          <w:p>
            <w:pPr>
              <w:spacing w:after="0"/>
              <w:rPr>
                <w:sz w:val="19"/>
                <w:szCs w:val="19"/>
                <w:color w:val="auto"/>
              </w:rPr>
            </w:pPr>
          </w:p>
        </w:tc>
        <w:tc>
          <w:tcPr>
            <w:tcW w:w="150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(6,180)</w:t>
            </w:r>
          </w:p>
        </w:tc>
        <w:tc>
          <w:tcPr>
            <w:tcW w:w="58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(5,593)</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Gain on sale of other assets</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(176)</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(239)</w:t>
            </w:r>
          </w:p>
        </w:tc>
        <w:tc>
          <w:tcPr>
            <w:tcW w:w="0" w:type="dxa"/>
            <w:vAlign w:val="bottom"/>
          </w:tcPr>
          <w:p>
            <w:pPr>
              <w:spacing w:after="0"/>
              <w:rPr>
                <w:sz w:val="1"/>
                <w:szCs w:val="1"/>
                <w:color w:val="auto"/>
              </w:rPr>
            </w:pPr>
          </w:p>
        </w:tc>
      </w:tr>
      <w:tr>
        <w:trPr>
          <w:trHeight w:val="230"/>
        </w:trPr>
        <w:tc>
          <w:tcPr>
            <w:tcW w:w="7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 net</w:t>
            </w:r>
          </w:p>
        </w:tc>
        <w:tc>
          <w:tcPr>
            <w:tcW w:w="360" w:type="dxa"/>
            <w:vAlign w:val="bottom"/>
          </w:tcPr>
          <w:p>
            <w:pPr>
              <w:spacing w:after="0"/>
              <w:rPr>
                <w:sz w:val="19"/>
                <w:szCs w:val="19"/>
                <w:color w:val="auto"/>
              </w:rPr>
            </w:pPr>
          </w:p>
        </w:tc>
        <w:tc>
          <w:tcPr>
            <w:tcW w:w="150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(1,439)</w:t>
            </w:r>
          </w:p>
        </w:tc>
        <w:tc>
          <w:tcPr>
            <w:tcW w:w="58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227</w:t>
            </w:r>
          </w:p>
        </w:tc>
        <w:tc>
          <w:tcPr>
            <w:tcW w:w="0" w:type="dxa"/>
            <w:vAlign w:val="bottom"/>
          </w:tcPr>
          <w:p>
            <w:pPr>
              <w:spacing w:after="0"/>
              <w:rPr>
                <w:sz w:val="1"/>
                <w:szCs w:val="1"/>
                <w:color w:val="auto"/>
              </w:rPr>
            </w:pPr>
          </w:p>
        </w:tc>
      </w:tr>
      <w:tr>
        <w:trPr>
          <w:trHeight w:val="223"/>
        </w:trPr>
        <w:tc>
          <w:tcPr>
            <w:tcW w:w="770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income taxes</w:t>
            </w: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96,376</w:t>
            </w: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85,242</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Income tax expense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4,299</w:t>
            </w: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15,840</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income</w:t>
            </w:r>
          </w:p>
        </w:tc>
        <w:tc>
          <w:tcPr>
            <w:tcW w:w="360" w:type="dxa"/>
            <w:vAlign w:val="bottom"/>
            <w:tcBorders>
              <w:bottom w:val="single" w:sz="8" w:color="auto"/>
            </w:tcBorders>
            <w:shd w:val="clear" w:color="auto" w:fill="CCEEFF"/>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92,077</w:t>
            </w: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69,402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Comprehensive income</w:t>
            </w:r>
          </w:p>
        </w:tc>
        <w:tc>
          <w:tcPr>
            <w:tcW w:w="360" w:type="dxa"/>
            <w:vAlign w:val="bottom"/>
            <w:tcBorders>
              <w:bottom w:val="single" w:sz="8" w:color="auto"/>
            </w:tcBorders>
            <w:shd w:val="clear" w:color="auto" w:fill="CCEEFF"/>
          </w:tcPr>
          <w:p>
            <w:pPr>
              <w:jc w:val="right"/>
              <w:ind w:right="13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92,077</w:t>
            </w: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5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69,402</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income per common share:</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360" w:type="dxa"/>
            <w:vAlign w:val="bottom"/>
            <w:tcBorders>
              <w:bottom w:val="single" w:sz="8" w:color="auto"/>
            </w:tcBorders>
            <w:shd w:val="clear" w:color="auto" w:fill="CCEEFF"/>
          </w:tcPr>
          <w:p>
            <w:pPr>
              <w:jc w:val="right"/>
              <w:ind w:right="13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0.33</w:t>
            </w: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5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0.25</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32"/>
              <w:spacing w:after="0" w:line="210"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0.33</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352"/>
              <w:spacing w:after="0" w:line="210"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0.25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16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281,784</w:t>
            </w:r>
          </w:p>
        </w:tc>
        <w:tc>
          <w:tcPr>
            <w:tcW w:w="2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274,021</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6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282,298</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ind w:right="12"/>
              <w:spacing w:after="0" w:line="210" w:lineRule="exact"/>
              <w:rPr>
                <w:sz w:val="20"/>
                <w:szCs w:val="20"/>
                <w:color w:val="auto"/>
              </w:rPr>
            </w:pPr>
            <w:r>
              <w:rPr>
                <w:rFonts w:ascii="Times New Roman" w:cs="Times New Roman" w:eastAsia="Times New Roman" w:hAnsi="Times New Roman"/>
                <w:sz w:val="22"/>
                <w:szCs w:val="22"/>
                <w:color w:val="auto"/>
              </w:rPr>
              <w:t>274,543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CONDENSED CONSOLIDATED STATEMENTS OF OPERATIONS AND COMPREHENSIVE INCOME</w:t>
      </w:r>
    </w:p>
    <w:p>
      <w:pPr>
        <w:jc w:val="center"/>
        <w:ind w:right="40"/>
        <w:spacing w:after="0" w:line="192" w:lineRule="auto"/>
        <w:rPr>
          <w:sz w:val="20"/>
          <w:szCs w:val="20"/>
          <w:color w:val="auto"/>
        </w:rPr>
      </w:pPr>
      <w:r>
        <w:rPr>
          <w:rFonts w:ascii="Times New Roman" w:cs="Times New Roman" w:eastAsia="Times New Roman" w:hAnsi="Times New Roman"/>
          <w:sz w:val="19"/>
          <w:szCs w:val="19"/>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60" w:type="dxa"/>
            <w:vAlign w:val="bottom"/>
            <w:gridSpan w:val="4"/>
          </w:tcPr>
          <w:p>
            <w:pPr>
              <w:jc w:val="right"/>
              <w:ind w:right="892"/>
              <w:spacing w:after="0"/>
              <w:rPr>
                <w:sz w:val="20"/>
                <w:szCs w:val="20"/>
                <w:color w:val="auto"/>
              </w:rPr>
            </w:pPr>
            <w:r>
              <w:rPr>
                <w:rFonts w:ascii="Times New Roman" w:cs="Times New Roman" w:eastAsia="Times New Roman" w:hAnsi="Times New Roman"/>
                <w:sz w:val="22"/>
                <w:szCs w:val="22"/>
                <w:color w:val="auto"/>
              </w:rPr>
              <w:t>Nine Months Ended</w:t>
            </w:r>
          </w:p>
        </w:tc>
        <w:tc>
          <w:tcPr>
            <w:tcW w:w="0" w:type="dxa"/>
            <w:vAlign w:val="bottom"/>
          </w:tcPr>
          <w:p>
            <w:pPr>
              <w:spacing w:after="0"/>
              <w:rPr>
                <w:sz w:val="1"/>
                <w:szCs w:val="1"/>
                <w:color w:val="auto"/>
              </w:rPr>
            </w:pPr>
          </w:p>
        </w:tc>
      </w:tr>
      <w:tr>
        <w:trPr>
          <w:trHeight w:val="257"/>
        </w:trPr>
        <w:tc>
          <w:tcPr>
            <w:tcW w:w="74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400" w:type="dxa"/>
            <w:vAlign w:val="bottom"/>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1,775,504</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1,481,730</w:t>
            </w:r>
          </w:p>
        </w:tc>
        <w:tc>
          <w:tcPr>
            <w:tcW w:w="0" w:type="dxa"/>
            <w:vAlign w:val="bottom"/>
          </w:tcPr>
          <w:p>
            <w:pPr>
              <w:spacing w:after="0"/>
              <w:rPr>
                <w:sz w:val="1"/>
                <w:szCs w:val="1"/>
                <w:color w:val="auto"/>
              </w:rPr>
            </w:pPr>
          </w:p>
        </w:tc>
      </w:tr>
      <w:tr>
        <w:trPr>
          <w:trHeight w:val="229"/>
        </w:trPr>
        <w:tc>
          <w:tcPr>
            <w:tcW w:w="7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expenses: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Operations and maintenance</w:t>
            </w: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439,422</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423,780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263,882</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182,498</w:t>
            </w:r>
          </w:p>
        </w:tc>
        <w:tc>
          <w:tcPr>
            <w:tcW w:w="0" w:type="dxa"/>
            <w:vAlign w:val="bottom"/>
          </w:tcPr>
          <w:p>
            <w:pPr>
              <w:spacing w:after="0"/>
              <w:rPr>
                <w:sz w:val="1"/>
                <w:szCs w:val="1"/>
                <w:color w:val="auto"/>
              </w:rPr>
            </w:pPr>
          </w:p>
        </w:tc>
      </w:tr>
      <w:tr>
        <w:trPr>
          <w:trHeight w:val="230"/>
        </w:trPr>
        <w:tc>
          <w:tcPr>
            <w:tcW w:w="74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Depreciation</w:t>
            </w: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299,628</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269,742</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Amortization</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10,334</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3,309</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68,291</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71,359</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operating expenses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1,081,557</w:t>
            </w:r>
          </w:p>
        </w:tc>
        <w:tc>
          <w:tcPr>
            <w:tcW w:w="2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950,688</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income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693,947</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531,042</w:t>
            </w:r>
          </w:p>
        </w:tc>
        <w:tc>
          <w:tcPr>
            <w:tcW w:w="0" w:type="dxa"/>
            <w:vAlign w:val="bottom"/>
          </w:tcPr>
          <w:p>
            <w:pPr>
              <w:spacing w:after="0"/>
              <w:rPr>
                <w:sz w:val="1"/>
                <w:szCs w:val="1"/>
                <w:color w:val="auto"/>
              </w:rPr>
            </w:pPr>
          </w:p>
        </w:tc>
      </w:tr>
      <w:tr>
        <w:trPr>
          <w:trHeight w:val="229"/>
        </w:trPr>
        <w:tc>
          <w:tcPr>
            <w:tcW w:w="7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Other expense (income):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expense</w:t>
            </w: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244,143</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223,164</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income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(1,609)</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(2,659)</w:t>
            </w:r>
          </w:p>
        </w:tc>
        <w:tc>
          <w:tcPr>
            <w:tcW w:w="0" w:type="dxa"/>
            <w:vAlign w:val="bottom"/>
          </w:tcPr>
          <w:p>
            <w:pPr>
              <w:spacing w:after="0"/>
              <w:rPr>
                <w:sz w:val="1"/>
                <w:szCs w:val="1"/>
                <w:color w:val="auto"/>
              </w:rPr>
            </w:pPr>
          </w:p>
        </w:tc>
      </w:tr>
      <w:tr>
        <w:trPr>
          <w:trHeight w:val="229"/>
        </w:trPr>
        <w:tc>
          <w:tcPr>
            <w:tcW w:w="74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(19,039)</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(15,503)</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Gain on sale of other assets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(669)</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(92,067)</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 net</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(848)</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486</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income taxes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471,969</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417,621</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Income tax expense (benefit)</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(11,724)</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7,062</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income</w:t>
            </w:r>
          </w:p>
        </w:tc>
        <w:tc>
          <w:tcPr>
            <w:tcW w:w="400" w:type="dxa"/>
            <w:vAlign w:val="bottom"/>
            <w:tcBorders>
              <w:bottom w:val="single" w:sz="8" w:color="auto"/>
            </w:tcBorders>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483,693</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410,559</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Comprehensive income</w:t>
            </w:r>
          </w:p>
        </w:tc>
        <w:tc>
          <w:tcPr>
            <w:tcW w:w="400" w:type="dxa"/>
            <w:vAlign w:val="bottom"/>
            <w:tcBorders>
              <w:bottom w:val="single" w:sz="8" w:color="auto"/>
            </w:tcBorders>
            <w:shd w:val="clear" w:color="auto" w:fill="CCEEFF"/>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483,693</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9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410,559</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income per common share:</w:t>
            </w: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400" w:type="dxa"/>
            <w:vAlign w:val="bottom"/>
            <w:tcBorders>
              <w:bottom w:val="single" w:sz="8" w:color="auto"/>
            </w:tcBorders>
            <w:shd w:val="clear" w:color="auto" w:fill="CCEEFF"/>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1.73</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9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1.50</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vMerge w:val="continue"/>
          </w:tcPr>
          <w:p>
            <w:pPr>
              <w:spacing w:after="0"/>
              <w:rPr>
                <w:sz w:val="21"/>
                <w:szCs w:val="21"/>
                <w:color w:val="auto"/>
              </w:rPr>
            </w:pPr>
          </w:p>
        </w:tc>
        <w:tc>
          <w:tcPr>
            <w:tcW w:w="400" w:type="dxa"/>
            <w:vAlign w:val="bottom"/>
            <w:tcBorders>
              <w:bottom w:val="single" w:sz="8" w:color="auto"/>
            </w:tcBorders>
          </w:tcPr>
          <w:p>
            <w:pPr>
              <w:jc w:val="right"/>
              <w:ind w:right="172"/>
              <w:spacing w:after="0" w:line="210"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1.73</w:t>
            </w:r>
          </w:p>
        </w:tc>
        <w:tc>
          <w:tcPr>
            <w:tcW w:w="2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392"/>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1.50</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279,027</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273,656</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279,560</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274,127</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8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CONDENSED CONSOLIDATED STATEMENTS OF CAPITALIZATION</w:t>
      </w:r>
    </w:p>
    <w:p>
      <w:pPr>
        <w:jc w:val="center"/>
        <w:ind w:right="40"/>
        <w:spacing w:after="0" w:line="192" w:lineRule="auto"/>
        <w:rPr>
          <w:sz w:val="20"/>
          <w:szCs w:val="20"/>
          <w:color w:val="auto"/>
        </w:rPr>
      </w:pPr>
      <w:r>
        <w:rPr>
          <w:rFonts w:ascii="Times New Roman" w:cs="Times New Roman" w:eastAsia="Times New Roman" w:hAnsi="Times New Roman"/>
          <w:sz w:val="19"/>
          <w:szCs w:val="19"/>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17"/>
                <w:szCs w:val="17"/>
                <w:color w:val="auto"/>
              </w:rPr>
            </w:pPr>
          </w:p>
        </w:tc>
        <w:tc>
          <w:tcPr>
            <w:tcW w:w="1600" w:type="dxa"/>
            <w:vAlign w:val="bottom"/>
          </w:tcPr>
          <w:p>
            <w:pPr>
              <w:jc w:val="right"/>
              <w:ind w:right="411"/>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1"/>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3"/>
        </w:trPr>
        <w:tc>
          <w:tcPr>
            <w:tcW w:w="7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Common stock, $0.50 par value</w:t>
            </w:r>
          </w:p>
        </w:tc>
        <w:tc>
          <w:tcPr>
            <w:tcW w:w="280" w:type="dxa"/>
            <w:vAlign w:val="bottom"/>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143,195</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139,105</w:t>
            </w:r>
          </w:p>
        </w:tc>
        <w:tc>
          <w:tcPr>
            <w:tcW w:w="0" w:type="dxa"/>
            <w:vAlign w:val="bottom"/>
          </w:tcPr>
          <w:p>
            <w:pPr>
              <w:spacing w:after="0"/>
              <w:rPr>
                <w:sz w:val="1"/>
                <w:szCs w:val="1"/>
                <w:color w:val="auto"/>
              </w:rPr>
            </w:pPr>
          </w:p>
        </w:tc>
      </w:tr>
      <w:tr>
        <w:trPr>
          <w:trHeight w:val="189"/>
        </w:trPr>
        <w:tc>
          <w:tcPr>
            <w:tcW w:w="714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tcPr>
          <w:p>
            <w:pPr>
              <w:spacing w:after="0"/>
              <w:rPr>
                <w:sz w:val="16"/>
                <w:szCs w:val="16"/>
                <w:color w:val="auto"/>
              </w:rPr>
            </w:pPr>
          </w:p>
        </w:tc>
        <w:tc>
          <w:tcPr>
            <w:tcW w:w="1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4,519,304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4,199,836</w:t>
            </w: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2,244,995</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1,949,492</w:t>
            </w:r>
          </w:p>
        </w:tc>
        <w:tc>
          <w:tcPr>
            <w:tcW w:w="0" w:type="dxa"/>
            <w:vAlign w:val="bottom"/>
          </w:tcPr>
          <w:p>
            <w:pPr>
              <w:spacing w:after="0"/>
              <w:rPr>
                <w:sz w:val="1"/>
                <w:szCs w:val="1"/>
                <w:color w:val="auto"/>
              </w:rPr>
            </w:pPr>
          </w:p>
        </w:tc>
      </w:tr>
      <w:tr>
        <w:trPr>
          <w:trHeight w:val="189"/>
        </w:trPr>
        <w:tc>
          <w:tcPr>
            <w:tcW w:w="714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Treasury stock, at cost</w:t>
            </w:r>
          </w:p>
        </w:tc>
        <w:tc>
          <w:tcPr>
            <w:tcW w:w="280" w:type="dxa"/>
            <w:vAlign w:val="bottom"/>
          </w:tcPr>
          <w:p>
            <w:pPr>
              <w:spacing w:after="0"/>
              <w:rPr>
                <w:sz w:val="16"/>
                <w:szCs w:val="16"/>
                <w:color w:val="auto"/>
              </w:rPr>
            </w:pPr>
          </w:p>
        </w:tc>
        <w:tc>
          <w:tcPr>
            <w:tcW w:w="19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(91,195)</w:t>
            </w:r>
          </w:p>
        </w:tc>
        <w:tc>
          <w:tcPr>
            <w:tcW w:w="30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(89,624)</w:t>
            </w:r>
          </w:p>
        </w:tc>
        <w:tc>
          <w:tcPr>
            <w:tcW w:w="0" w:type="dxa"/>
            <w:vAlign w:val="bottom"/>
          </w:tcPr>
          <w:p>
            <w:pPr>
              <w:spacing w:after="0"/>
              <w:rPr>
                <w:sz w:val="1"/>
                <w:szCs w:val="1"/>
                <w:color w:val="auto"/>
              </w:rPr>
            </w:pPr>
          </w:p>
        </w:tc>
      </w:tr>
      <w:tr>
        <w:trPr>
          <w:trHeight w:val="183"/>
        </w:trPr>
        <w:tc>
          <w:tcPr>
            <w:tcW w:w="71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6,816,299</w:t>
            </w: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6,198,809</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4600" w:type="dxa"/>
            <w:vAlign w:val="bottom"/>
            <w:gridSpan w:val="3"/>
          </w:tcPr>
          <w:p>
            <w:pPr>
              <w:jc w:val="center"/>
              <w:ind w:right="740"/>
              <w:spacing w:after="0" w:line="203" w:lineRule="exact"/>
              <w:rPr>
                <w:sz w:val="20"/>
                <w:szCs w:val="20"/>
                <w:color w:val="auto"/>
              </w:rPr>
            </w:pPr>
            <w:r>
              <w:rPr>
                <w:rFonts w:ascii="Times New Roman" w:cs="Times New Roman" w:eastAsia="Times New Roman" w:hAnsi="Times New Roman"/>
                <w:sz w:val="18"/>
                <w:szCs w:val="18"/>
                <w:color w:val="auto"/>
                <w:w w:val="99"/>
              </w:rPr>
              <w:t>Interest Rate Range</w:t>
            </w:r>
          </w:p>
        </w:tc>
        <w:tc>
          <w:tcPr>
            <w:tcW w:w="2540" w:type="dxa"/>
            <w:vAlign w:val="bottom"/>
            <w:gridSpan w:val="2"/>
          </w:tcPr>
          <w:p>
            <w:pPr>
              <w:jc w:val="center"/>
              <w:ind w:right="1020"/>
              <w:spacing w:after="0" w:line="203" w:lineRule="exact"/>
              <w:rPr>
                <w:sz w:val="20"/>
                <w:szCs w:val="20"/>
                <w:color w:val="auto"/>
              </w:rPr>
            </w:pPr>
            <w:r>
              <w:rPr>
                <w:rFonts w:ascii="Times New Roman" w:cs="Times New Roman" w:eastAsia="Times New Roman" w:hAnsi="Times New Roman"/>
                <w:sz w:val="18"/>
                <w:szCs w:val="18"/>
                <w:color w:val="auto"/>
                <w:w w:val="99"/>
              </w:rPr>
              <w:t>Maturity Date Range</w:t>
            </w: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9"/>
        </w:trPr>
        <w:tc>
          <w:tcPr>
            <w:tcW w:w="122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0.00% to 0.99%</w:t>
            </w:r>
          </w:p>
        </w:tc>
        <w:tc>
          <w:tcPr>
            <w:tcW w:w="196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2028 to 2053</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2,563</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2,637</w:t>
            </w: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1.00% to 1.99%</w:t>
            </w:r>
          </w:p>
        </w:tc>
        <w:tc>
          <w:tcPr>
            <w:tcW w:w="2540" w:type="dxa"/>
            <w:vAlign w:val="bottom"/>
            <w:gridSpan w:val="2"/>
          </w:tcPr>
          <w:p>
            <w:pPr>
              <w:jc w:val="center"/>
              <w:ind w:right="1020"/>
              <w:spacing w:after="0" w:line="189" w:lineRule="exact"/>
              <w:rPr>
                <w:sz w:val="20"/>
                <w:szCs w:val="20"/>
                <w:color w:val="auto"/>
              </w:rPr>
            </w:pPr>
            <w:r>
              <w:rPr>
                <w:rFonts w:ascii="Times New Roman" w:cs="Times New Roman" w:eastAsia="Times New Roman" w:hAnsi="Times New Roman"/>
                <w:sz w:val="18"/>
                <w:szCs w:val="18"/>
                <w:color w:val="auto"/>
              </w:rPr>
              <w:t>2030 to 2049</w:t>
            </w:r>
          </w:p>
        </w:tc>
        <w:tc>
          <w:tcPr>
            <w:tcW w:w="6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21,973</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11,732</w:t>
            </w: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2.00% to 2.99%</w:t>
            </w:r>
          </w:p>
        </w:tc>
        <w:tc>
          <w:tcPr>
            <w:tcW w:w="2540" w:type="dxa"/>
            <w:vAlign w:val="bottom"/>
            <w:gridSpan w:val="2"/>
            <w:shd w:val="clear" w:color="auto" w:fill="CCEEFF"/>
          </w:tcPr>
          <w:p>
            <w:pPr>
              <w:jc w:val="center"/>
              <w:ind w:right="1020"/>
              <w:spacing w:after="0" w:line="189" w:lineRule="exact"/>
              <w:rPr>
                <w:sz w:val="20"/>
                <w:szCs w:val="20"/>
                <w:color w:val="auto"/>
              </w:rPr>
            </w:pPr>
            <w:r>
              <w:rPr>
                <w:rFonts w:ascii="Times New Roman" w:cs="Times New Roman" w:eastAsia="Times New Roman" w:hAnsi="Times New Roman"/>
                <w:sz w:val="18"/>
                <w:szCs w:val="18"/>
                <w:color w:val="auto"/>
              </w:rPr>
              <w:t>2025 to 2058</w:t>
            </w: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205,203</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206,297</w:t>
            </w: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3.00% to 3.99%</w:t>
            </w:r>
          </w:p>
        </w:tc>
        <w:tc>
          <w:tcPr>
            <w:tcW w:w="2540" w:type="dxa"/>
            <w:vAlign w:val="bottom"/>
            <w:gridSpan w:val="2"/>
          </w:tcPr>
          <w:p>
            <w:pPr>
              <w:jc w:val="center"/>
              <w:ind w:right="1020"/>
              <w:spacing w:after="0" w:line="189" w:lineRule="exact"/>
              <w:rPr>
                <w:sz w:val="20"/>
                <w:szCs w:val="20"/>
                <w:color w:val="auto"/>
              </w:rPr>
            </w:pPr>
            <w:r>
              <w:rPr>
                <w:rFonts w:ascii="Times New Roman" w:cs="Times New Roman" w:eastAsia="Times New Roman" w:hAnsi="Times New Roman"/>
                <w:sz w:val="18"/>
                <w:szCs w:val="18"/>
                <w:color w:val="auto"/>
              </w:rPr>
              <w:t>2026 to 2056</w:t>
            </w:r>
          </w:p>
        </w:tc>
        <w:tc>
          <w:tcPr>
            <w:tcW w:w="6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1,253,769</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1,258,003</w:t>
            </w: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4.00% to 4.99%</w:t>
            </w:r>
          </w:p>
        </w:tc>
        <w:tc>
          <w:tcPr>
            <w:tcW w:w="2540" w:type="dxa"/>
            <w:vAlign w:val="bottom"/>
            <w:gridSpan w:val="2"/>
            <w:shd w:val="clear" w:color="auto" w:fill="CCEEFF"/>
          </w:tcPr>
          <w:p>
            <w:pPr>
              <w:jc w:val="center"/>
              <w:ind w:right="1020"/>
              <w:spacing w:after="0" w:line="189" w:lineRule="exact"/>
              <w:rPr>
                <w:sz w:val="20"/>
                <w:szCs w:val="20"/>
                <w:color w:val="auto"/>
              </w:rPr>
            </w:pPr>
            <w:r>
              <w:rPr>
                <w:rFonts w:ascii="Times New Roman" w:cs="Times New Roman" w:eastAsia="Times New Roman" w:hAnsi="Times New Roman"/>
                <w:sz w:val="18"/>
                <w:szCs w:val="18"/>
                <w:color w:val="auto"/>
              </w:rPr>
              <w:t>2025 to 2059</w:t>
            </w: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1,236,724</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1,239,032</w:t>
            </w: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5.00% to 5.99%</w:t>
            </w:r>
          </w:p>
        </w:tc>
        <w:tc>
          <w:tcPr>
            <w:tcW w:w="2540" w:type="dxa"/>
            <w:vAlign w:val="bottom"/>
            <w:gridSpan w:val="2"/>
          </w:tcPr>
          <w:p>
            <w:pPr>
              <w:jc w:val="center"/>
              <w:ind w:right="1020"/>
              <w:spacing w:after="0" w:line="189" w:lineRule="exact"/>
              <w:rPr>
                <w:sz w:val="20"/>
                <w:szCs w:val="20"/>
                <w:color w:val="auto"/>
              </w:rPr>
            </w:pPr>
            <w:r>
              <w:rPr>
                <w:rFonts w:ascii="Times New Roman" w:cs="Times New Roman" w:eastAsia="Times New Roman" w:hAnsi="Times New Roman"/>
                <w:sz w:val="18"/>
                <w:szCs w:val="18"/>
                <w:color w:val="auto"/>
              </w:rPr>
              <w:t>2028 to 2061</w:t>
            </w:r>
          </w:p>
        </w:tc>
        <w:tc>
          <w:tcPr>
            <w:tcW w:w="6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412,260</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312,260</w:t>
            </w: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6.00% to 6.99%</w:t>
            </w:r>
          </w:p>
        </w:tc>
        <w:tc>
          <w:tcPr>
            <w:tcW w:w="2540" w:type="dxa"/>
            <w:vAlign w:val="bottom"/>
            <w:gridSpan w:val="2"/>
            <w:shd w:val="clear" w:color="auto" w:fill="CCEEFF"/>
          </w:tcPr>
          <w:p>
            <w:pPr>
              <w:jc w:val="center"/>
              <w:ind w:right="1020"/>
              <w:spacing w:after="0" w:line="189" w:lineRule="exact"/>
              <w:rPr>
                <w:sz w:val="20"/>
                <w:szCs w:val="20"/>
                <w:color w:val="auto"/>
              </w:rPr>
            </w:pPr>
            <w:r>
              <w:rPr>
                <w:rFonts w:ascii="Times New Roman" w:cs="Times New Roman" w:eastAsia="Times New Roman" w:hAnsi="Times New Roman"/>
                <w:sz w:val="18"/>
                <w:szCs w:val="18"/>
                <w:color w:val="auto"/>
              </w:rPr>
              <w:t>2026 to 2036</w:t>
            </w: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7.00% to 7.99%</w:t>
            </w:r>
          </w:p>
        </w:tc>
        <w:tc>
          <w:tcPr>
            <w:tcW w:w="2540" w:type="dxa"/>
            <w:vAlign w:val="bottom"/>
            <w:gridSpan w:val="2"/>
          </w:tcPr>
          <w:p>
            <w:pPr>
              <w:jc w:val="center"/>
              <w:ind w:right="1020"/>
              <w:spacing w:after="0" w:line="189" w:lineRule="exact"/>
              <w:rPr>
                <w:sz w:val="20"/>
                <w:szCs w:val="20"/>
                <w:color w:val="auto"/>
              </w:rPr>
            </w:pPr>
            <w:r>
              <w:rPr>
                <w:rFonts w:ascii="Times New Roman" w:cs="Times New Roman" w:eastAsia="Times New Roman" w:hAnsi="Times New Roman"/>
                <w:sz w:val="18"/>
                <w:szCs w:val="18"/>
                <w:color w:val="auto"/>
              </w:rPr>
              <w:t>2025 to 2027</w:t>
            </w:r>
          </w:p>
        </w:tc>
        <w:tc>
          <w:tcPr>
            <w:tcW w:w="6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4,711</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27,888</w:t>
            </w: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8.00% to 8.99%</w:t>
            </w:r>
          </w:p>
        </w:tc>
        <w:tc>
          <w:tcPr>
            <w:tcW w:w="15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447</w:t>
            </w:r>
          </w:p>
        </w:tc>
      </w:tr>
      <w:tr>
        <w:trPr>
          <w:trHeight w:val="189"/>
        </w:trPr>
        <w:tc>
          <w:tcPr>
            <w:tcW w:w="1220" w:type="dxa"/>
            <w:vAlign w:val="bottom"/>
            <w:tcBorders>
              <w:bottom w:val="single" w:sz="8" w:color="CCEEFF"/>
            </w:tcBorders>
          </w:tcPr>
          <w:p>
            <w:pPr>
              <w:spacing w:after="0"/>
              <w:rPr>
                <w:sz w:val="16"/>
                <w:szCs w:val="16"/>
                <w:color w:val="auto"/>
              </w:rPr>
            </w:pPr>
          </w:p>
        </w:tc>
        <w:tc>
          <w:tcPr>
            <w:tcW w:w="3380" w:type="dxa"/>
            <w:vAlign w:val="bottom"/>
            <w:tcBorders>
              <w:bottom w:val="single" w:sz="8" w:color="CCEEFF"/>
            </w:tcBorders>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9.00% to 9.99%</w:t>
            </w:r>
          </w:p>
        </w:tc>
        <w:tc>
          <w:tcPr>
            <w:tcW w:w="1520" w:type="dxa"/>
            <w:vAlign w:val="bottom"/>
            <w:tcBorders>
              <w:bottom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0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r>
      <w:tr>
        <w:trPr>
          <w:trHeight w:val="183"/>
        </w:trPr>
        <w:tc>
          <w:tcPr>
            <w:tcW w:w="1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3,180,003</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3,101,096</w:t>
            </w:r>
          </w:p>
        </w:tc>
      </w:tr>
      <w:tr>
        <w:trPr>
          <w:trHeight w:val="189"/>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8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71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Notes payable to bank under revolving credit agreement, variable rate, due 2027</w:t>
            </w: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413,000</w:t>
            </w:r>
          </w:p>
        </w:tc>
      </w:tr>
      <w:tr>
        <w:trPr>
          <w:trHeight w:val="189"/>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notes payable:</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89"/>
        </w:trPr>
        <w:tc>
          <w:tcPr>
            <w:tcW w:w="46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 paper program (See Note 7)</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153,000</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2.40% due 2031</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r>
      <w:tr>
        <w:trPr>
          <w:trHeight w:val="189"/>
        </w:trPr>
        <w:tc>
          <w:tcPr>
            <w:tcW w:w="46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2.704% due 2030</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ranging from 3.01% to 3.59% due 2029 through 2050</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r>
      <w:tr>
        <w:trPr>
          <w:trHeight w:val="189"/>
        </w:trPr>
        <w:tc>
          <w:tcPr>
            <w:tcW w:w="46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4.276%, due 2049</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4.80%, due 2027</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r>
      <w:tr>
        <w:trPr>
          <w:trHeight w:val="189"/>
        </w:trPr>
        <w:tc>
          <w:tcPr>
            <w:tcW w:w="46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5.25%, due 2035</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5.30%, due 2052</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r>
      <w:tr>
        <w:trPr>
          <w:trHeight w:val="189"/>
        </w:trPr>
        <w:tc>
          <w:tcPr>
            <w:tcW w:w="46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5.375%, due 2034</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5.95%, due 2033 through 2034</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r>
      <w:tr>
        <w:trPr>
          <w:trHeight w:val="183"/>
        </w:trPr>
        <w:tc>
          <w:tcPr>
            <w:tcW w:w="46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Total long-term debt</w:t>
            </w: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7,878,003</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7,559,096</w:t>
            </w:r>
          </w:p>
        </w:tc>
      </w:tr>
      <w:tr>
        <w:trPr>
          <w:trHeight w:val="189"/>
        </w:trPr>
        <w:tc>
          <w:tcPr>
            <w:tcW w:w="1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9"/>
        </w:trPr>
        <w:tc>
          <w:tcPr>
            <w:tcW w:w="4600" w:type="dxa"/>
            <w:vAlign w:val="bottom"/>
            <w:tcBorders>
              <w:bottom w:val="single" w:sz="8" w:color="CCEEFF"/>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15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135,763</w:t>
            </w: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142,807</w:t>
            </w:r>
          </w:p>
        </w:tc>
      </w:tr>
      <w:tr>
        <w:trPr>
          <w:trHeight w:val="183"/>
        </w:trPr>
        <w:tc>
          <w:tcPr>
            <w:tcW w:w="460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w:t>
            </w:r>
          </w:p>
        </w:tc>
        <w:tc>
          <w:tcPr>
            <w:tcW w:w="1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7,742,240</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7,416,289</w:t>
            </w:r>
          </w:p>
        </w:tc>
      </w:tr>
      <w:tr>
        <w:trPr>
          <w:trHeight w:val="189"/>
        </w:trPr>
        <w:tc>
          <w:tcPr>
            <w:tcW w:w="4600" w:type="dxa"/>
            <w:vAlign w:val="bottom"/>
            <w:tcBorders>
              <w:bottom w:val="single" w:sz="8" w:color="CCEEFF"/>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Less: debt issuance costs and unamortized discount on debt</w:t>
            </w:r>
          </w:p>
        </w:tc>
        <w:tc>
          <w:tcPr>
            <w:tcW w:w="15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50,149</w:t>
            </w: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47,908</w:t>
            </w:r>
          </w:p>
        </w:tc>
      </w:tr>
      <w:tr>
        <w:trPr>
          <w:trHeight w:val="137"/>
        </w:trPr>
        <w:tc>
          <w:tcPr>
            <w:tcW w:w="7140" w:type="dxa"/>
            <w:vAlign w:val="bottom"/>
            <w:gridSpan w:val="5"/>
            <w:shd w:val="clear" w:color="auto" w:fill="CCEEFF"/>
          </w:tcPr>
          <w:p>
            <w:pPr>
              <w:spacing w:after="0" w:line="137" w:lineRule="exact"/>
              <w:rPr>
                <w:sz w:val="20"/>
                <w:szCs w:val="20"/>
                <w:color w:val="auto"/>
              </w:rPr>
            </w:pPr>
            <w:r>
              <w:rPr>
                <w:rFonts w:ascii="Times New Roman" w:cs="Times New Roman" w:eastAsia="Times New Roman" w:hAnsi="Times New Roman"/>
                <w:sz w:val="15"/>
                <w:szCs w:val="15"/>
                <w:color w:val="auto"/>
              </w:rPr>
              <w:t>Long-term debt, excluding current portion, net of debt issuance costs and unamortized discount</w:t>
            </w:r>
          </w:p>
        </w:tc>
        <w:tc>
          <w:tcPr>
            <w:tcW w:w="6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34"/>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on debt</w:t>
            </w:r>
          </w:p>
        </w:tc>
        <w:tc>
          <w:tcPr>
            <w:tcW w:w="1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7,692,091</w:t>
            </w:r>
          </w:p>
        </w:tc>
        <w:tc>
          <w:tcPr>
            <w:tcW w:w="2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7,368,381</w:t>
            </w:r>
          </w:p>
        </w:tc>
      </w:tr>
      <w:tr>
        <w:trPr>
          <w:trHeight w:val="183"/>
        </w:trPr>
        <w:tc>
          <w:tcPr>
            <w:tcW w:w="12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83"/>
        </w:trPr>
        <w:tc>
          <w:tcPr>
            <w:tcW w:w="4600" w:type="dxa"/>
            <w:vAlign w:val="bottom"/>
            <w:tcBorders>
              <w:bottom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capitalization</w:t>
            </w:r>
          </w:p>
        </w:tc>
        <w:tc>
          <w:tcPr>
            <w:tcW w:w="15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14,508,390</w:t>
            </w: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13,567,190</w:t>
            </w:r>
          </w:p>
        </w:tc>
      </w:tr>
      <w:tr>
        <w:trPr>
          <w:trHeight w:val="20"/>
        </w:trPr>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0"/>
        </w:trPr>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9"/>
        </w:trPr>
        <w:tc>
          <w:tcPr>
            <w:tcW w:w="71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CONDENSED CONSOLIDATED STATEMENTS OF EQUITY</w:t>
      </w:r>
    </w:p>
    <w:p>
      <w:pPr>
        <w:jc w:val="center"/>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5"/>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rPr>
              <w:t>Excess of</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Total</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139,105</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4,199,836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1,949,492</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(89,624)</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6,198,809</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283,789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283,789</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March 1, 2025 ($0.3255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2, 2025 declared ($0.3255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(90,054)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(90,054)</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(104,369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3,760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3,812</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(1,627,009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813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62,267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63,080</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(61,455 shares)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(2,234)</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(2,234)</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(155,823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(78)</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(9,703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337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342</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(185)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2,407</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(88)</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162</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March 31, 2025</w:t>
            </w:r>
          </w:p>
        </w:tc>
        <w:tc>
          <w:tcPr>
            <w:tcW w:w="1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140,053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4,268,626</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2,143,020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(91,608)</w:t>
            </w:r>
          </w:p>
        </w:tc>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6,460,091</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107,827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107,827</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2, 2025 ($0.3255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(1,197)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(1,197)</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(105,842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3,757</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(3,664,762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1,833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143,663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145,496</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(75 shares)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(21,857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(2,117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75</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4,292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(249)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4,043</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(108)</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113</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June 30, 2025</w:t>
            </w:r>
          </w:p>
        </w:tc>
        <w:tc>
          <w:tcPr>
            <w:tcW w:w="1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141,951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4,420,240</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2,249,401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(91,390)</w:t>
            </w:r>
          </w:p>
        </w:tc>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6,720,202</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92,077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92,077</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September 2, 2025 ($0.3426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(96,159)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(96,159)</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(104,013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3,898</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(2,379,579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1,190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90,351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91,541</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(975 shares)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(38)</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(3,316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(2,588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92</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4,922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(324)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4,598</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(145)</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88</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September 30, 2025</w:t>
            </w: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143,195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4,519,304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2,244,995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(91,195)</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6,816,299</w:t>
            </w: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CONDENSED CONSOLIDATED STATEMENTS OF EQUITY</w:t>
      </w:r>
    </w:p>
    <w:p>
      <w:pPr>
        <w:jc w:val="center"/>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6"/>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rPr>
              <w:t>Excess of</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7"/>
                <w:szCs w:val="17"/>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Total</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138,297</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4,137,696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1,706,675</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(86,485)</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5,896,183</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265,772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265,772</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March 1, 2024 ($0.3071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2024 declared ($0.3071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(83,998)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(83,998)</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(117,210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3,882</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(62,872 shares)</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(2,231)</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(2,231)</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(160,694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(80)</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(4,971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175</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1,049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1,122</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March 31, 2024</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138,438</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4,142,610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1,888,521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(88,442)</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6,081,127</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75,385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75,385</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2024 ($0.3071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(108,544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3,790</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(30 shares)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(23,142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(7,117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248</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(189)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2,562</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(121)</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124</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June 30, 2024</w:t>
            </w:r>
          </w:p>
        </w:tc>
        <w:tc>
          <w:tcPr>
            <w:tcW w:w="1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138,508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4,149,208</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1,963,716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(88,198)</w:t>
            </w:r>
          </w:p>
        </w:tc>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6,163,234</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69,402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69,402</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September 1, 2024 ($0.3255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(89,081)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(89,081)</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(106,063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3,878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3,931</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(823,595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31,671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32,083</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(73 shares)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(577 shares)</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(3,295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115</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(161)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1,364</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(347)</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(112)</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September 30, 2024</w:t>
            </w: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138,975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4,186,048</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1,943,876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(87,965)</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6,180,934</w:t>
            </w: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Click or tap here to enter text.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CONDENSED CONSOLIDATED STATEMENTS OF CASH FLOW</w:t>
      </w:r>
    </w:p>
    <w:p>
      <w:pPr>
        <w:ind w:left="4540"/>
        <w:spacing w:after="0" w:line="187" w:lineRule="auto"/>
        <w:rPr>
          <w:sz w:val="20"/>
          <w:szCs w:val="20"/>
          <w:color w:val="auto"/>
        </w:rPr>
      </w:pPr>
      <w:r>
        <w:rPr>
          <w:rFonts w:ascii="Times New Roman" w:cs="Times New Roman" w:eastAsia="Times New Roman" w:hAnsi="Times New Roman"/>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69"/>
        </w:trPr>
        <w:tc>
          <w:tcPr>
            <w:tcW w:w="8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483,693</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5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410,559</w:t>
            </w:r>
          </w:p>
        </w:tc>
        <w:tc>
          <w:tcPr>
            <w:tcW w:w="0" w:type="dxa"/>
            <w:vAlign w:val="bottom"/>
          </w:tcPr>
          <w:p>
            <w:pPr>
              <w:spacing w:after="0"/>
              <w:rPr>
                <w:sz w:val="1"/>
                <w:szCs w:val="1"/>
                <w:color w:val="auto"/>
              </w:rPr>
            </w:pPr>
          </w:p>
        </w:tc>
      </w:tr>
      <w:tr>
        <w:trPr>
          <w:trHeight w:val="176"/>
        </w:trPr>
        <w:tc>
          <w:tcPr>
            <w:tcW w:w="82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309,962</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273,051</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(15,611)</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1,569</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14,802</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15,818</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11,843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5,363</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Gain on sale of utility systems and other assets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(669)</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(92,067)</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receivables, deferred purchased gas costs, inventory and prepayments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14,100</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(9,543)</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(29,877)</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40,703</w:t>
            </w:r>
          </w:p>
        </w:tc>
        <w:tc>
          <w:tcPr>
            <w:tcW w:w="0" w:type="dxa"/>
            <w:vAlign w:val="bottom"/>
          </w:tcPr>
          <w:p>
            <w:pPr>
              <w:spacing w:after="0"/>
              <w:rPr>
                <w:sz w:val="1"/>
                <w:szCs w:val="1"/>
                <w:color w:val="auto"/>
              </w:rPr>
            </w:pPr>
          </w:p>
        </w:tc>
      </w:tr>
      <w:tr>
        <w:trPr>
          <w:trHeight w:val="175"/>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Pension and other postretirement benefits contributions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(3,945)</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(9,394)</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20,049</w:t>
            </w:r>
          </w:p>
        </w:tc>
        <w:tc>
          <w:tcPr>
            <w:tcW w:w="1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(13,549)</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Net cash flows from operating activities</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804,347</w:t>
            </w: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622,510</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8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 construction of</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$5,795 and $5,381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(983,089)</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(932,498)</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Acquisitions of utility systems, net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(57,004)</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proceeds from the sale of utility systems and other assets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805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167,274</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Convertible note investment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(22,350)</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(286)</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169"/>
        </w:trPr>
        <w:tc>
          <w:tcPr>
            <w:tcW w:w="82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(1,061,924)</w:t>
            </w:r>
          </w:p>
        </w:tc>
        <w:tc>
          <w:tcPr>
            <w:tcW w:w="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(766,044)</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15,371</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10,245</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customers' advances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(3,701)</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(4,121)</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repayments of short-term debt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(90,176)</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(17,106)</w:t>
            </w:r>
          </w:p>
        </w:tc>
        <w:tc>
          <w:tcPr>
            <w:tcW w:w="0" w:type="dxa"/>
            <w:vAlign w:val="bottom"/>
          </w:tcPr>
          <w:p>
            <w:pPr>
              <w:spacing w:after="0"/>
              <w:rPr>
                <w:sz w:val="1"/>
                <w:szCs w:val="1"/>
                <w:color w:val="auto"/>
              </w:rPr>
            </w:pPr>
          </w:p>
        </w:tc>
      </w:tr>
      <w:tr>
        <w:trPr>
          <w:trHeight w:val="189"/>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proceeds from commercial paper program</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152,525</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other long-term debt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1,312,446</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1,394,411</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other long-term debt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(1,146,488)</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(1,024,722)</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Change in cash overdraft position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(18,468)</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3,437</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under dividend reinvestment plan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11,467</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11,603</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from at-the-market sale agreement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300,117</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32,083</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exercised stock options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509</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(2,275)</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(2,234)</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paid on common stock</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(276,872)</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(257,011)</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363</w:t>
            </w:r>
          </w:p>
        </w:tc>
        <w:tc>
          <w:tcPr>
            <w:tcW w:w="1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Net cash flows from financing activities</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254,818</w:t>
            </w: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147,358</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change in cash and cash equivalents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(2,759)</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3,824</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9,156</w:t>
            </w: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4,612</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1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6,397</w:t>
            </w:r>
          </w:p>
        </w:tc>
        <w:tc>
          <w:tcPr>
            <w:tcW w:w="1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8,436</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135,873</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5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121,371</w:t>
            </w:r>
          </w:p>
        </w:tc>
        <w:tc>
          <w:tcPr>
            <w:tcW w:w="0" w:type="dxa"/>
            <w:vAlign w:val="bottom"/>
          </w:tcPr>
          <w:p>
            <w:pPr>
              <w:spacing w:after="0"/>
              <w:rPr>
                <w:sz w:val="1"/>
                <w:szCs w:val="1"/>
                <w:color w:val="auto"/>
              </w:rPr>
            </w:pPr>
          </w:p>
        </w:tc>
      </w:tr>
      <w:tr>
        <w:trPr>
          <w:trHeight w:val="210"/>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utility property contributions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37,098</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ESSENTIAL UTILITIES, INC. AND SUBSIDIARIES NOTES TO CONDENSED CONSOLIDATED FINANCIAL STATEMENTS (In thousands of dollars, except per share amounts) (UNAUDITED)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 </w:t>
      </w:r>
      <w:r>
        <w:rPr>
          <w:rFonts w:ascii="Times New Roman" w:cs="Times New Roman" w:eastAsia="Times New Roman" w:hAnsi="Times New Roman"/>
          <w:sz w:val="22"/>
          <w:szCs w:val="22"/>
          <w:b w:val="1"/>
          <w:bCs w:val="1"/>
          <w:i w:val="1"/>
          <w:iCs w:val="1"/>
          <w:color w:val="auto"/>
        </w:rPr>
        <w:t>Basis of Presentation</w:t>
      </w:r>
    </w:p>
    <w:p>
      <w:pPr>
        <w:spacing w:after="0" w:line="19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The accompanying unaudited condensed consolidated balance sheets and statements of capitalization of Essential Utilities, Inc. and subsidiaries (collectively, the “Company”, “we”, “us” or “our”) at September 30, 2025, the unaudited condensed consolidated statements of operations and comprehensive income and of equity for the three and nine months ended September 30, 2025 and 2024, and the unaudited condensed consolidated statements of cash flows for the nine months ended September 30, 2025 and 2024,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2024. Interim results are not necessarily indicative of results for a full year. In the opinion of management, all adjustments, consisting of only recurring accruals, which are necessary to present a fair statement of its condensed consolidated balance sheets, condensed consolidated statements of capitalization, condensed consolidated statements of equity, condensed consolidated statements of operations and comprehensive income, and condensed consolidated statements of cash flow for the periods presented, have been made.</w:t>
      </w:r>
    </w:p>
    <w:p>
      <w:pPr>
        <w:spacing w:after="0" w:line="19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1"/>
          <w:szCs w:val="21"/>
          <w:color w:val="auto"/>
        </w:rPr>
        <w:t>The preparation of financial statements often requires the selection of specific accounting methods and policies. Significant estimates and judgments may be required in selecting and applying those methods and policies in the recognition of the assets and liabilities in its condensed consolidated balance sheets, the revenues and expenses in its condensed consolidated statements of operations and comprehensive income, and the information that is contained in its summary of significant accounting policies and notes to condensed consolidated financial statements. Making these estimates and judgments requires the analysis of information concerning events that may not yet be complete and of facts and circumstances that may change over time. Furthermore, we are exposed to the uncertain state of the economy and macroeconomic conditions, including inflation and volatility of interest rates. As these continue to evolve, future events and effects related to these conditions cannot be determined with precision. Accordingly, actual amounts or future results can differ materially from those estimates that the Company includes currently in its condensed consolidated financial statements, summary of significant accounting policies, and notes.</w:t>
      </w:r>
    </w:p>
    <w:p>
      <w:pPr>
        <w:spacing w:after="0" w:line="190"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22"/>
          <w:szCs w:val="22"/>
          <w:color w:val="auto"/>
        </w:rPr>
        <w:t>There have been no changes to the summary of significant accounting policies previously identified in the Company’s Annual Report on Form 10-K for the year ended December 31,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 </w:t>
      </w:r>
      <w:r>
        <w:rPr>
          <w:rFonts w:ascii="Times New Roman" w:cs="Times New Roman" w:eastAsia="Times New Roman" w:hAnsi="Times New Roman"/>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our revenues disaggregated by major source and customer class: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Three Months Ended</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color w:val="auto"/>
              </w:rPr>
              <w:t>Three 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September 30, 2025</w:t>
            </w: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6"/>
                <w:szCs w:val="16"/>
                <w:color w:val="auto"/>
              </w:rPr>
              <w:t>September 30, 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color w:val="auto"/>
              </w:rPr>
              <w:t>Water</w:t>
            </w:r>
          </w:p>
        </w:tc>
        <w:tc>
          <w:tcPr>
            <w:tcW w:w="10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6"/>
                <w:szCs w:val="16"/>
                <w:color w:val="auto"/>
              </w:rPr>
              <w:t>Wastewater</w:t>
            </w:r>
          </w:p>
        </w:tc>
        <w:tc>
          <w:tcPr>
            <w:tcW w:w="104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6"/>
                <w:szCs w:val="16"/>
                <w:color w:val="auto"/>
              </w:rPr>
              <w:t>Natural Gas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6"/>
                <w:szCs w:val="16"/>
                <w:color w:val="auto"/>
              </w:rPr>
              <w:t>Water</w:t>
            </w: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color w:val="auto"/>
              </w:rPr>
              <w:t>Wastewater</w:t>
            </w:r>
          </w:p>
        </w:tc>
        <w:tc>
          <w:tcPr>
            <w:tcW w:w="60" w:type="dxa"/>
            <w:vAlign w:val="bottom"/>
          </w:tcPr>
          <w:p>
            <w:pPr>
              <w:spacing w:after="0"/>
              <w:rPr>
                <w:sz w:val="12"/>
                <w:szCs w:val="12"/>
                <w:color w:val="auto"/>
              </w:rPr>
            </w:pPr>
          </w:p>
        </w:tc>
        <w:tc>
          <w:tcPr>
            <w:tcW w:w="11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6"/>
                <w:szCs w:val="16"/>
                <w:color w:val="auto"/>
              </w:rPr>
              <w:t>Natural Gas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Revenues from contracts with customers:</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Revenues</w:t>
            </w:r>
          </w:p>
        </w:tc>
        <w:tc>
          <w:tcPr>
            <w:tcW w:w="6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0" w:type="dxa"/>
            <w:vAlign w:val="bottom"/>
          </w:tcPr>
          <w:p>
            <w:pPr>
              <w:spacing w:after="0"/>
              <w:rPr>
                <w:sz w:val="1"/>
                <w:szCs w:val="1"/>
                <w:color w:val="auto"/>
              </w:rPr>
            </w:pPr>
          </w:p>
        </w:tc>
      </w:tr>
      <w:tr>
        <w:trPr>
          <w:trHeight w:val="169"/>
        </w:trPr>
        <w:tc>
          <w:tcPr>
            <w:tcW w:w="284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Residential</w:t>
            </w:r>
          </w:p>
        </w:tc>
        <w:tc>
          <w:tcPr>
            <w:tcW w:w="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201,815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42,999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58,993</w:t>
            </w:r>
          </w:p>
        </w:tc>
        <w:tc>
          <w:tcPr>
            <w:tcW w:w="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182,616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37,450</w:t>
            </w: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49,398</w:t>
            </w:r>
          </w:p>
        </w:tc>
        <w:tc>
          <w:tcPr>
            <w:tcW w:w="1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Commercial</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59,786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11,062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12,003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52,577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9,779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9,838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Fire protection</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12,210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10,670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Industrial</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11,695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9,747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1,043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Gas transportation &amp; storage</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30,067</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27,576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water</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16,130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23,631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wastewater</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3,450</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utility</w:t>
            </w:r>
          </w:p>
        </w:tc>
        <w:tc>
          <w:tcPr>
            <w:tcW w:w="120" w:type="dxa"/>
            <w:vAlign w:val="bottom"/>
          </w:tcPr>
          <w:p>
            <w:pPr>
              <w:spacing w:after="0"/>
              <w:rPr>
                <w:sz w:val="15"/>
                <w:szCs w:val="15"/>
                <w:color w:val="auto"/>
              </w:rPr>
            </w:pPr>
          </w:p>
        </w:tc>
        <w:tc>
          <w:tcPr>
            <w:tcW w:w="88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6,643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2,685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9,334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Revenues from contracts with customers</w:t>
            </w: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301,636</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58,523</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107,933</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2,685</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279,241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51,722</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96,374</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2,677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Alternative revenue program</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517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357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 and eliminations</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4,466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Consolidated</w:t>
            </w: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302,052</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59,318</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108,450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7,151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280,023</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51,777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96,731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6,724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Nine Months Ended</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color w:val="auto"/>
              </w:rPr>
              <w:t>Nine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September 30, 2025</w:t>
            </w: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6"/>
                <w:szCs w:val="16"/>
                <w:color w:val="auto"/>
              </w:rPr>
              <w:t>September 30, 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color w:val="auto"/>
              </w:rPr>
              <w:t>Water</w:t>
            </w:r>
          </w:p>
        </w:tc>
        <w:tc>
          <w:tcPr>
            <w:tcW w:w="10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6"/>
                <w:szCs w:val="16"/>
                <w:color w:val="auto"/>
              </w:rPr>
              <w:t>Wastewater</w:t>
            </w:r>
          </w:p>
        </w:tc>
        <w:tc>
          <w:tcPr>
            <w:tcW w:w="104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6"/>
                <w:szCs w:val="16"/>
                <w:color w:val="auto"/>
              </w:rPr>
              <w:t>Natural Gas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6"/>
                <w:szCs w:val="16"/>
                <w:color w:val="auto"/>
              </w:rPr>
              <w:t>Water</w:t>
            </w: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color w:val="auto"/>
              </w:rPr>
              <w:t>Wastewater</w:t>
            </w:r>
          </w:p>
        </w:tc>
        <w:tc>
          <w:tcPr>
            <w:tcW w:w="60" w:type="dxa"/>
            <w:vAlign w:val="bottom"/>
          </w:tcPr>
          <w:p>
            <w:pPr>
              <w:spacing w:after="0"/>
              <w:rPr>
                <w:sz w:val="12"/>
                <w:szCs w:val="12"/>
                <w:color w:val="auto"/>
              </w:rPr>
            </w:pPr>
          </w:p>
        </w:tc>
        <w:tc>
          <w:tcPr>
            <w:tcW w:w="11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6"/>
                <w:szCs w:val="16"/>
                <w:color w:val="auto"/>
              </w:rPr>
              <w:t>Natural Gas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Revenues from contracts with customers:</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Revenues</w:t>
            </w:r>
          </w:p>
        </w:tc>
        <w:tc>
          <w:tcPr>
            <w:tcW w:w="6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0" w:type="dxa"/>
            <w:vAlign w:val="bottom"/>
          </w:tcPr>
          <w:p>
            <w:pPr>
              <w:spacing w:after="0"/>
              <w:rPr>
                <w:sz w:val="1"/>
                <w:szCs w:val="1"/>
                <w:color w:val="auto"/>
              </w:rPr>
            </w:pPr>
          </w:p>
        </w:tc>
      </w:tr>
      <w:tr>
        <w:trPr>
          <w:trHeight w:val="169"/>
        </w:trPr>
        <w:tc>
          <w:tcPr>
            <w:tcW w:w="284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Residential</w:t>
            </w:r>
          </w:p>
        </w:tc>
        <w:tc>
          <w:tcPr>
            <w:tcW w:w="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550,913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122,810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463,998</w:t>
            </w:r>
          </w:p>
        </w:tc>
        <w:tc>
          <w:tcPr>
            <w:tcW w:w="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499,859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109,097</w:t>
            </w: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326,921</w:t>
            </w:r>
          </w:p>
        </w:tc>
        <w:tc>
          <w:tcPr>
            <w:tcW w:w="1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Commercial</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157,296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30,766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93,540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140,110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27,569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66,417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Fire protection</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35,239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31,793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Industrial</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30,933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1,860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2,013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26,527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2,149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1,475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Gas transportation &amp; storage</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168,151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133,458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water</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48,094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59,131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wastewater</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10,122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9,836</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utility</w:t>
            </w:r>
          </w:p>
        </w:tc>
        <w:tc>
          <w:tcPr>
            <w:tcW w:w="120" w:type="dxa"/>
            <w:vAlign w:val="bottom"/>
          </w:tcPr>
          <w:p>
            <w:pPr>
              <w:spacing w:after="0"/>
              <w:rPr>
                <w:sz w:val="15"/>
                <w:szCs w:val="15"/>
                <w:color w:val="auto"/>
              </w:rPr>
            </w:pPr>
          </w:p>
        </w:tc>
        <w:tc>
          <w:tcPr>
            <w:tcW w:w="88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24,824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8,260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19,486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8,389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Revenues from contracts with customers</w:t>
            </w: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822,475</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165,558</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752,526</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8,260</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757,420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148,651</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547,757</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8,389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Alternative revenue program</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4,042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2,462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(72)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1,493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 and eliminations</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21,751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15,630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Consolidated</w:t>
            </w: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822,610</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166,315</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756,568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30,011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759,882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148,579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549,250</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24,019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5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59"/>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 </w:t>
      </w:r>
      <w:r>
        <w:rPr>
          <w:rFonts w:ascii="Times New Roman" w:cs="Times New Roman" w:eastAsia="Times New Roman" w:hAnsi="Times New Roman"/>
          <w:sz w:val="22"/>
          <w:szCs w:val="22"/>
          <w:b w:val="1"/>
          <w:bCs w:val="1"/>
          <w:i w:val="1"/>
          <w:iCs w:val="1"/>
          <w:color w:val="auto"/>
        </w:rPr>
        <w:t>Water and Wastewater Utility 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Completed Acquisitions</w:t>
      </w:r>
    </w:p>
    <w:p>
      <w:pPr>
        <w:spacing w:after="0" w:line="22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In July 2025, the Company acquired the wastewater utility system of the City of Beaver Falls, Pennsylvania for $37,750. The system serves approximately 3,200 customers in the City of Beaver Falls and also provides bulk transmission and treatment service for approximately 3,800 equivalent dwelling units in seven nearby municipalities. The preliminary purchase price allocation for this acquisition consisted primarily of property, plant and equipment of $29,900 and goodwill of $7,850. The pro-forma effect of this acquisition is not material either individually or collectively to the Company’s results of operations.</w:t>
      </w:r>
    </w:p>
    <w:p>
      <w:pPr>
        <w:spacing w:after="0" w:line="178"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In April 2025, the Company acquired the Village of Midvale’s water system in Ohio, which serves approximately 1,000 customers for $2,950.</w:t>
      </w:r>
    </w:p>
    <w:p>
      <w:pPr>
        <w:spacing w:after="0" w:line="158"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2"/>
          <w:szCs w:val="22"/>
          <w:color w:val="auto"/>
        </w:rPr>
        <w:t>In January 2025, the Company acquired Greenville Sanitary Authority’s wastewater utility assets, which serve approximately 2,300 customers in Greenville, Pennsylvania for $18,000.</w:t>
      </w:r>
    </w:p>
    <w:p>
      <w:pPr>
        <w:spacing w:after="0" w:line="186"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2"/>
          <w:szCs w:val="22"/>
          <w:color w:val="auto"/>
        </w:rPr>
        <w:t>In October 2024, the Company acquired wastewater utility assets in Morgan County, Indiana, which serve approximately 100 customers for $500.</w:t>
      </w:r>
    </w:p>
    <w:p>
      <w:pPr>
        <w:spacing w:after="0" w:line="18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In May 2024, the Company acquired the wastewater utility assets of Westfield HOA, which serve approximately 200 customers within Westfield Homeowners Subdivision in Glenview, Illinois for a cash purchase price of $67.</w:t>
      </w:r>
    </w:p>
    <w:p>
      <w:pPr>
        <w:spacing w:after="0" w:line="11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2"/>
          <w:szCs w:val="22"/>
          <w:color w:val="auto"/>
        </w:rPr>
        <w:t>Except for the City of Beaver Falls, Pennsylvania acquisition, the purchase price allocation for the above water and wastewater utility acquisitions consisted primarily of property, plant and equipment.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Pending Acquisitions</w:t>
      </w:r>
    </w:p>
    <w:p>
      <w:pPr>
        <w:spacing w:after="0" w:line="21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In October 2024, the Company entered into a purchase agreement to acquire Integra Water Texas, LLC’s wastewater system assets in Bastrop County, Texas, which serve approximately 1,100 customers for $4,400.</w:t>
      </w:r>
    </w:p>
    <w:p>
      <w:pPr>
        <w:spacing w:after="0" w:line="15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In June 2024, the Company entered into a purchase agreement to acquire private water and wastewater utility assets in Harris County, Texas, which serve approximately 400 equivalent retail customers for $1,125.</w:t>
      </w:r>
    </w:p>
    <w:p>
      <w:pPr>
        <w:spacing w:after="0" w:line="15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2"/>
          <w:szCs w:val="22"/>
          <w:color w:val="auto"/>
        </w:rPr>
        <w:t>In September 2023, the Company entered into a purchase agreement to acquire Greenville Municipal Water Authority’s water system in Greenville, Pennsylvania which serves approximately 3,000 customers for $18,000.</w:t>
      </w:r>
    </w:p>
    <w:p>
      <w:pPr>
        <w:spacing w:after="0" w:line="13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22"/>
          <w:szCs w:val="22"/>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commercial paper program and revolving credit facility until permanent debt and common equity are secured. These</w:t>
      </w:r>
    </w:p>
    <w:p>
      <w:pPr>
        <w:spacing w:after="0" w:line="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3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3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2"/>
          <w:szCs w:val="22"/>
          <w:color w:val="auto"/>
        </w:rPr>
        <w:t>pending acquisitions are expected to close during the first half of 2026. Closings for our utility acquisitions are subject to the timing of the respective regulatory approval processes.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East Whiteland Purchase Agreement</w:t>
      </w:r>
    </w:p>
    <w:p>
      <w:pPr>
        <w:spacing w:after="0" w:line="224"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color w:val="auto"/>
        </w:rPr>
        <w:t>On July 29, 2022, the Pennsylvania Public Utility Commission issued an order (the “PUC Order”) approving the Company’s acquisition of the municipal wastewater assets of East Whiteland Township, Chester County, Pennsylvania, which serves 4,018 customers (the “East Whiteland Wastewater Assets”). On August 12, 2022, the Company acquired the East Whiteland Wastewater Assets for a cash purchase price of $54,374. Subsequently on August 25, 2022, the Office of Consumer Advocate (“OCA”) filed an appeal of the PUC Order to the Pennsylvania Commonwealth Court. On July 31, 2023, a decision was issued by the Pennsylvania Commonwealth Court, in which the Pennsylvania Commonwealth Court agreed with the OCA and reversed the PUC order which approved the acquisition. On September 26, 2023, the Pennsylvania Commonwealth Court denied our motion for reargument. On October 26, 2023, the Company, the Pennsylvania Public Utility Commission, and East Whiteland Township filed an appeal to the Pennsylvania Supreme Court. East Whiteland Township filed to Supplement its Petition for Allowance of Appeal on January 2, 2024. On January 16, 2024, the Company, the OCA and the PUC filed Answers to East Whiteland Township’s Petition. On June 14, 2024, the Pennsylvania Supreme Court granted the Petitions for Allowance of Appeal of the Pennsylvania Public Utility Commission, the Company, and East Whiteland Township. The Company, the Pennsylvania Public Utility Commission, East Whiteland Township, and several Amicus Curiae filed Initial Briefs on September 26, 2024. The OCA submitted its Brief on December 10, 2024 and the Company, the Pennsylvania Public Utility Commission, and East Whiteland Township submitted Reply Briefs. Oral arguments before the Pennsylvania Supreme Court took place on May 14, 2025. The Company is currently awaiting a decision from the Pennsylvania Supreme Court. Management believes the final resolution of this matter will not have a material adverse effect on the Company’s financial position, results of operations, or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DELCORA Purchase Agreement</w:t>
      </w:r>
    </w:p>
    <w:p>
      <w:pPr>
        <w:spacing w:after="0" w:line="224"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In 2019, the Company entered into a purchase agreement to acquire the wastewater utility system assets of the Delaware County Regional Water Quality Control Authority (“DELCORA”), which consist of approximately 16,000 customers, or the equivalent of 198,000 retail customers, in 42 municipalities in Southeast Pennsylvania for $276,500. There are several legal proceedings involving the Company as a result of the purchase agreement that are on-going. 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commercial paper program and revolving credit facility until permanent debt is secured. Closing of our acquisition of DELCORA is subject to regulatory approval and on-going litigation.</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 </w:t>
      </w:r>
      <w:r>
        <w:rPr>
          <w:rFonts w:ascii="Times New Roman" w:cs="Times New Roman" w:eastAsia="Times New Roman" w:hAnsi="Times New Roman"/>
          <w:sz w:val="22"/>
          <w:szCs w:val="22"/>
          <w:b w:val="1"/>
          <w:bCs w:val="1"/>
          <w:i w:val="1"/>
          <w:iCs w:val="1"/>
          <w:color w:val="auto"/>
        </w:rPr>
        <w:t>Dispositions</w:t>
      </w:r>
    </w:p>
    <w:p>
      <w:pPr>
        <w:spacing w:after="0" w:line="212"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In October 2023, the Company entered into an agreement to sell its interest in three non-utility local microgrid and distributed energy projects for $165,000. The sale was completed in January 2024, and the Company recognized a gain of $91,236 during the first quarter of 2024, which is included in Other expense (income) in the accompanying condensed consolidated statement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 </w:t>
      </w:r>
      <w:r>
        <w:rPr>
          <w:rFonts w:ascii="Times New Roman" w:cs="Times New Roman" w:eastAsia="Times New Roman" w:hAnsi="Times New Roman"/>
          <w:sz w:val="22"/>
          <w:szCs w:val="22"/>
          <w:b w:val="1"/>
          <w:bCs w:val="1"/>
          <w:i w:val="1"/>
          <w:iCs w:val="1"/>
          <w:color w:val="auto"/>
        </w:rPr>
        <w:t>Convertible Note Investment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August 27, 2025, the Company, through its wholly owned subsidiary, Aqua Infrastructure, entered into a convertible</w:t>
      </w:r>
    </w:p>
    <w:p>
      <w:pPr>
        <w:spacing w:after="0" w:line="231" w:lineRule="auto"/>
        <w:rPr>
          <w:sz w:val="20"/>
          <w:szCs w:val="20"/>
          <w:color w:val="auto"/>
        </w:rPr>
      </w:pPr>
      <w:r>
        <w:rPr>
          <w:rFonts w:ascii="Times New Roman" w:cs="Times New Roman" w:eastAsia="Times New Roman" w:hAnsi="Times New Roman"/>
          <w:sz w:val="22"/>
          <w:szCs w:val="22"/>
          <w:color w:val="auto"/>
        </w:rPr>
        <w:t>promissory note purchase agreement with IEP Hummingbird Energy LLC (“IEP”) whereby the Company agreed to purchase</w:t>
      </w:r>
    </w:p>
    <w:p>
      <w:pPr>
        <w:spacing w:after="0" w:line="217" w:lineRule="auto"/>
        <w:rPr>
          <w:sz w:val="20"/>
          <w:szCs w:val="20"/>
          <w:color w:val="auto"/>
        </w:rPr>
      </w:pPr>
      <w:r>
        <w:rPr>
          <w:rFonts w:ascii="Times New Roman" w:cs="Times New Roman" w:eastAsia="Times New Roman" w:hAnsi="Times New Roman"/>
          <w:sz w:val="22"/>
          <w:szCs w:val="22"/>
          <w:color w:val="auto"/>
        </w:rPr>
        <w:t>convertible notes (“Convertible Note Investment”) in the aggregate principal amount of $26,000 through January 2026. IEP, a</w:t>
      </w:r>
    </w:p>
    <w:p>
      <w:pPr>
        <w:spacing w:after="0" w:line="218" w:lineRule="auto"/>
        <w:rPr>
          <w:sz w:val="20"/>
          <w:szCs w:val="20"/>
          <w:color w:val="auto"/>
        </w:rPr>
      </w:pPr>
      <w:r>
        <w:rPr>
          <w:rFonts w:ascii="Times New Roman" w:cs="Times New Roman" w:eastAsia="Times New Roman" w:hAnsi="Times New Roman"/>
          <w:sz w:val="22"/>
          <w:szCs w:val="22"/>
          <w:color w:val="auto"/>
        </w:rPr>
        <w:t>subsidiary of International Electric Power III, LLC, shall use the proceeds for the development of a gas-fired plant to power a</w:t>
      </w:r>
    </w:p>
    <w:p>
      <w:pPr>
        <w:spacing w:after="0" w:line="218" w:lineRule="auto"/>
        <w:rPr>
          <w:sz w:val="20"/>
          <w:szCs w:val="20"/>
          <w:color w:val="auto"/>
        </w:rPr>
      </w:pPr>
      <w:r>
        <w:rPr>
          <w:rFonts w:ascii="Times New Roman" w:cs="Times New Roman" w:eastAsia="Times New Roman" w:hAnsi="Times New Roman"/>
          <w:sz w:val="22"/>
          <w:szCs w:val="22"/>
          <w:color w:val="auto"/>
        </w:rPr>
        <w:t>data center being developed in Greene County, PA. The Convertible Note Investment bears zero interest, includes a fixed</w:t>
      </w:r>
    </w:p>
    <w:p>
      <w:pPr>
        <w:spacing w:after="0"/>
        <w:rPr>
          <w:sz w:val="20"/>
          <w:szCs w:val="20"/>
          <w:color w:val="auto"/>
        </w:rPr>
      </w:pPr>
      <w:r>
        <w:rPr>
          <w:rFonts w:ascii="Times New Roman" w:cs="Times New Roman" w:eastAsia="Times New Roman" w:hAnsi="Times New Roman"/>
          <w:sz w:val="21"/>
          <w:szCs w:val="21"/>
          <w:color w:val="auto"/>
        </w:rPr>
        <w:t>$16,500 loan fee concurrently payable to the Company at maturity with the principal amount of the notes on September 30, 2026,</w:t>
      </w:r>
    </w:p>
    <w:p>
      <w:pPr>
        <w:spacing w:after="0" w:line="219" w:lineRule="auto"/>
        <w:rPr>
          <w:sz w:val="20"/>
          <w:szCs w:val="20"/>
          <w:color w:val="auto"/>
        </w:rPr>
      </w:pPr>
      <w:r>
        <w:rPr>
          <w:rFonts w:ascii="Times New Roman" w:cs="Times New Roman" w:eastAsia="Times New Roman" w:hAnsi="Times New Roman"/>
          <w:sz w:val="22"/>
          <w:szCs w:val="22"/>
          <w:color w:val="auto"/>
        </w:rPr>
        <w:t>and contains conversion rights into equity at any time on or after maturity or upon certain triggering events, such as a project</w:t>
      </w:r>
    </w:p>
    <w:p>
      <w:pPr>
        <w:spacing w:after="0" w:line="217" w:lineRule="auto"/>
        <w:rPr>
          <w:sz w:val="20"/>
          <w:szCs w:val="20"/>
          <w:color w:val="auto"/>
        </w:rPr>
      </w:pPr>
      <w:r>
        <w:rPr>
          <w:rFonts w:ascii="Times New Roman" w:cs="Times New Roman" w:eastAsia="Times New Roman" w:hAnsi="Times New Roman"/>
          <w:sz w:val="22"/>
          <w:szCs w:val="22"/>
          <w:color w:val="auto"/>
        </w:rPr>
        <w:t>financial closing or equity financing, as defined in the agreement. The agreement also grants the Company the right of first</w:t>
      </w:r>
    </w:p>
    <w:p>
      <w:pPr>
        <w:spacing w:after="0" w:line="229" w:lineRule="auto"/>
        <w:rPr>
          <w:sz w:val="20"/>
          <w:szCs w:val="20"/>
          <w:color w:val="auto"/>
        </w:rPr>
      </w:pPr>
      <w:r>
        <w:rPr>
          <w:rFonts w:ascii="Times New Roman" w:cs="Times New Roman" w:eastAsia="Times New Roman" w:hAnsi="Times New Roman"/>
          <w:sz w:val="21"/>
          <w:szCs w:val="21"/>
          <w:color w:val="auto"/>
        </w:rPr>
        <w:t>refusal to certain water and gas business opportunities and additional equity kickers upon the occurrence of a financing event or</w:t>
      </w:r>
    </w:p>
    <w:p>
      <w:pPr>
        <w:spacing w:after="0"/>
        <w:rPr>
          <w:sz w:val="20"/>
          <w:szCs w:val="20"/>
          <w:color w:val="auto"/>
        </w:rPr>
      </w:pPr>
      <w:r>
        <w:rPr>
          <w:rFonts w:ascii="Times New Roman" w:cs="Times New Roman" w:eastAsia="Times New Roman" w:hAnsi="Times New Roman"/>
          <w:sz w:val="22"/>
          <w:szCs w:val="22"/>
          <w:color w:val="auto"/>
        </w:rPr>
        <w:t>change of control.  As of September 30, 2025, the Company has purchased a total of $22,350 of convertible notes from IEP.</w:t>
      </w:r>
    </w:p>
    <w:p>
      <w:pPr>
        <w:spacing w:after="0" w:line="196"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 xml:space="preserve">The Convertible Note Investment is accounted for as an available-for-sale debt security under Accounting Standards Codification 320, </w:t>
      </w:r>
      <w:r>
        <w:rPr>
          <w:rFonts w:ascii="Times New Roman" w:cs="Times New Roman" w:eastAsia="Times New Roman" w:hAnsi="Times New Roman"/>
          <w:sz w:val="22"/>
          <w:szCs w:val="22"/>
          <w:i w:val="1"/>
          <w:iCs w:val="1"/>
          <w:color w:val="auto"/>
        </w:rPr>
        <w:t>Investments – Debt Securities</w:t>
      </w:r>
      <w:r>
        <w:rPr>
          <w:rFonts w:ascii="Times New Roman" w:cs="Times New Roman" w:eastAsia="Times New Roman" w:hAnsi="Times New Roman"/>
          <w:sz w:val="22"/>
          <w:szCs w:val="22"/>
          <w:color w:val="auto"/>
        </w:rPr>
        <w:t>. The Company elected to measure the Convertible Note Investment using the fair value option, wherein bifurcation of an embedded derivative is not necessary, and all the related gains and losses due to change in fair value are reflected in Other expense (income) in the accompanying condensed consolidated statement of operations. As of September 30, 2025, the fair value of the Convertible Note Investment is $22,350.</w:t>
      </w:r>
    </w:p>
    <w:p>
      <w:pPr>
        <w:spacing w:after="0" w:line="19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The Convertible Note Investment is classified as long-term asset within Deferred charges and other assets in the accompanying condensed consolidated balance sheets. Changes in the fair value of this Level 3 investment (see Note 8) for the three- and nine-month period ended September 30, 2025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3"/>
          </w:tcPr>
          <w:p>
            <w:pPr>
              <w:jc w:val="right"/>
              <w:ind w:right="812"/>
              <w:spacing w:after="0"/>
              <w:rPr>
                <w:sz w:val="20"/>
                <w:szCs w:val="20"/>
                <w:color w:val="auto"/>
              </w:rPr>
            </w:pPr>
            <w:r>
              <w:rPr>
                <w:rFonts w:ascii="Times New Roman" w:cs="Times New Roman" w:eastAsia="Times New Roman" w:hAnsi="Times New Roman"/>
                <w:sz w:val="22"/>
                <w:szCs w:val="22"/>
                <w:color w:val="auto"/>
              </w:rPr>
              <w:t>Unrealized Gains</w:t>
            </w:r>
          </w:p>
        </w:tc>
        <w:tc>
          <w:tcPr>
            <w:tcW w:w="1900" w:type="dxa"/>
            <w:vAlign w:val="bottom"/>
          </w:tcPr>
          <w:p>
            <w:pPr>
              <w:spacing w:after="0"/>
              <w:rPr>
                <w:sz w:val="21"/>
                <w:szCs w:val="21"/>
                <w:color w:val="auto"/>
              </w:rPr>
            </w:pPr>
          </w:p>
        </w:tc>
      </w:tr>
      <w:tr>
        <w:trPr>
          <w:trHeight w:val="270"/>
        </w:trPr>
        <w:tc>
          <w:tcPr>
            <w:tcW w:w="4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Cost</w:t>
            </w:r>
          </w:p>
        </w:tc>
        <w:tc>
          <w:tcPr>
            <w:tcW w:w="200" w:type="dxa"/>
            <w:vAlign w:val="bottom"/>
          </w:tcPr>
          <w:p>
            <w:pPr>
              <w:spacing w:after="0"/>
              <w:rPr>
                <w:sz w:val="23"/>
                <w:szCs w:val="23"/>
                <w:color w:val="auto"/>
              </w:rPr>
            </w:pPr>
          </w:p>
        </w:tc>
        <w:tc>
          <w:tcPr>
            <w:tcW w:w="2500" w:type="dxa"/>
            <w:vAlign w:val="bottom"/>
            <w:gridSpan w:val="3"/>
          </w:tcPr>
          <w:p>
            <w:pPr>
              <w:jc w:val="right"/>
              <w:ind w:right="1172"/>
              <w:spacing w:after="0"/>
              <w:rPr>
                <w:sz w:val="20"/>
                <w:szCs w:val="20"/>
                <w:color w:val="auto"/>
              </w:rPr>
            </w:pPr>
            <w:r>
              <w:rPr>
                <w:rFonts w:ascii="Times New Roman" w:cs="Times New Roman" w:eastAsia="Times New Roman" w:hAnsi="Times New Roman"/>
                <w:sz w:val="22"/>
                <w:szCs w:val="22"/>
                <w:color w:val="auto"/>
              </w:rPr>
              <w:t>(Losses)</w:t>
            </w:r>
          </w:p>
        </w:tc>
        <w:tc>
          <w:tcPr>
            <w:tcW w:w="19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Fair Value</w:t>
            </w:r>
          </w:p>
        </w:tc>
      </w:tr>
      <w:tr>
        <w:trPr>
          <w:trHeight w:val="223"/>
        </w:trPr>
        <w:tc>
          <w:tcPr>
            <w:tcW w:w="416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Convertible Note Investment</w:t>
            </w:r>
          </w:p>
        </w:tc>
        <w:tc>
          <w:tcPr>
            <w:tcW w:w="520" w:type="dxa"/>
            <w:vAlign w:val="bottom"/>
            <w:tcBorders>
              <w:top w:val="single" w:sz="8" w:color="auto"/>
            </w:tcBorders>
            <w:shd w:val="clear" w:color="auto" w:fill="CCEEFF"/>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7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22,350</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9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22,350</w:t>
            </w:r>
          </w:p>
        </w:tc>
      </w:tr>
    </w:tbl>
    <w:p>
      <w:pPr>
        <w:spacing w:after="0" w:line="202" w:lineRule="exact"/>
        <w:rPr>
          <w:sz w:val="20"/>
          <w:szCs w:val="20"/>
          <w:color w:val="auto"/>
        </w:rPr>
      </w:pPr>
    </w:p>
    <w:p>
      <w:pPr>
        <w:ind w:right="260"/>
        <w:spacing w:after="0" w:line="230" w:lineRule="auto"/>
        <w:rPr>
          <w:sz w:val="20"/>
          <w:szCs w:val="20"/>
          <w:color w:val="auto"/>
        </w:rPr>
      </w:pPr>
      <w:r>
        <w:rPr>
          <w:rFonts w:ascii="Times New Roman" w:cs="Times New Roman" w:eastAsia="Times New Roman" w:hAnsi="Times New Roman"/>
          <w:sz w:val="22"/>
          <w:szCs w:val="22"/>
          <w:color w:val="auto"/>
        </w:rPr>
        <w:t>The Company is not a primary beneficiary of IEP as it does not have both (1) the power to direct the activities that most significantly impact IEP’s economic performance, and (2) the obligation to absorb losses or the right to receive benefits that could be significant to IEP. Therefore, the Company is not required to consolidate IEP in its financial statements. The Company reconsiders whether it is the primary beneficiary on an ongoing basis. The maximum risk of loss by the Company is limited to the fair value of the Company’s Convertible Note Investment.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 </w:t>
      </w:r>
      <w:r>
        <w:rPr>
          <w:rFonts w:ascii="Times New Roman" w:cs="Times New Roman" w:eastAsia="Times New Roman" w:hAnsi="Times New Roman"/>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changes in the Company’s goodwill, by business segment: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Regulated Natural</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Regulated Water</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Gas</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Consolidated</w:t>
            </w:r>
          </w:p>
        </w:tc>
      </w:tr>
      <w:tr>
        <w:trPr>
          <w:trHeight w:val="183"/>
        </w:trPr>
        <w:tc>
          <w:tcPr>
            <w:tcW w:w="54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2024</w:t>
            </w: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58,425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2,277,447</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2,340,713</w:t>
            </w:r>
          </w:p>
        </w:tc>
      </w:tr>
      <w:tr>
        <w:trPr>
          <w:trHeight w:val="189"/>
        </w:trPr>
        <w:tc>
          <w:tcPr>
            <w:tcW w:w="54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Goodwill acquired</w:t>
            </w:r>
          </w:p>
        </w:tc>
        <w:tc>
          <w:tcPr>
            <w:tcW w:w="1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7,850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7,850</w:t>
            </w:r>
          </w:p>
        </w:tc>
      </w:tr>
      <w:tr>
        <w:trPr>
          <w:trHeight w:val="189"/>
        </w:trPr>
        <w:tc>
          <w:tcPr>
            <w:tcW w:w="54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Reclassification to utility plant acquisition adjustment</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3"/>
        </w:trPr>
        <w:tc>
          <w:tcPr>
            <w:tcW w:w="5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September 30, 2025</w:t>
            </w: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66,271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2,277,447</w:t>
            </w: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2,348,559</w:t>
            </w: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60"/>
        <w:spacing w:after="0" w:line="238" w:lineRule="auto"/>
        <w:rPr>
          <w:sz w:val="20"/>
          <w:szCs w:val="20"/>
          <w:color w:val="auto"/>
        </w:rPr>
      </w:pPr>
      <w:r>
        <w:rPr>
          <w:rFonts w:ascii="Times New Roman" w:cs="Times New Roman" w:eastAsia="Times New Roman" w:hAnsi="Times New Roman"/>
          <w:sz w:val="22"/>
          <w:szCs w:val="22"/>
          <w:color w:val="auto"/>
        </w:rPr>
        <w:t>One of our subsidiaries in the Regulated Water segment has a mechanism that allows the reclassification of goodwill to utility plant acquisition adjustment. The mechanism provides for the transfer over time, and the recovery through customer rates, of goodwill associated with some acquisitions upon achieving specific objectives.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 </w:t>
      </w:r>
      <w:r>
        <w:rPr>
          <w:rFonts w:ascii="Times New Roman" w:cs="Times New Roman" w:eastAsia="Times New Roman" w:hAnsi="Times New Roman"/>
          <w:sz w:val="22"/>
          <w:szCs w:val="22"/>
          <w:b w:val="1"/>
          <w:bCs w:val="1"/>
          <w:i w:val="1"/>
          <w:iCs w:val="1"/>
          <w:color w:val="auto"/>
        </w:rPr>
        <w:t>Capitalization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At-the-Market Offering</w:t>
      </w:r>
    </w:p>
    <w:p>
      <w:pPr>
        <w:spacing w:after="0" w:line="226"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22"/>
          <w:szCs w:val="22"/>
          <w:color w:val="auto"/>
        </w:rPr>
        <w:t>On August 13, 2024, the Company established a new at-the-market equity sales program (“ATM”), under which it may issue and sell shares of its common stock up to an aggregate offering price of $1,000,000 (“2024 ATM”). During the three months ended September 30, 2025, we issued 2,379,579 shares of common stock for net proceeds of approximately $91,500 under the 2024 ATM. During the nine months ended September 30, 2025, we issued 7,671,350 shares of common stock for net proceeds of approximately $300,100 under the 2024 ATM. As of September 30, 2025, the 2024 ATM had approximately $660,700 of equity available for issuance. The Company used the net proceeds from the sales of shares through the 2024 ATM for working capital, capital expenditures, water and wastewater utility acquisitions, and repaying a portion of outstanding indebtedness.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Commercial Paper Program</w:t>
      </w:r>
    </w:p>
    <w:p>
      <w:pPr>
        <w:spacing w:after="0" w:line="21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2"/>
          <w:szCs w:val="22"/>
          <w:color w:val="auto"/>
        </w:rPr>
        <w:t>On March 19, 2025, the Company established a commercial paper program (the “CP Program”) that allows it to issue, through private placement, short-term, unsecured commercial paper notes (the “CP Notes”) in an aggregate principal amount not to exceed $1,000,000. Maturities of CP Notes may vary, but cannot exceed 364 days from the date of issue. Amounts available under the Program may be borrowed, repaid, and re-borrowed from time to time. The CP Program is reinforced by the Company’s revolving credit facility, as amounts undrawn under the Company’s revolving credit facility are available to repay the CP Notes. Notes issued under the CP Program rank equally with the Company’s present and future unsecured indebtedness. The Company utilizes the proceeds from the sale of the CP Notes for general corporate purposes, which may include working capital, capital expenditures, water and wastewater utility acquisitions, and repaying outstanding indebtedness, including under the Company’s revolving credit facility or the revolving credit facilities of its subsidiaries.</w:t>
      </w:r>
    </w:p>
    <w:p>
      <w:pPr>
        <w:spacing w:after="0" w:line="19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2"/>
          <w:szCs w:val="22"/>
          <w:color w:val="auto"/>
        </w:rPr>
        <w:t>As of September 30, 2025, outstanding borrowings under the Company’s commercial paper program were $152,982, net of unamortized discount on issuance of $18, with a weighted average interest rate of 4.35% and weighted average remaining term of 2 days. Outstanding CP Notes are classified as long-</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term debt in the accompanying condensed consolidated balance sheets and condensed consolidated statements of capitalization since the Company has the intent and ability to refinance the CP Notes on a long-term basis using the Company’s revolving credit facility. The carrying value of CP Notes approximates their fair value, primarily due to their market interest rates, and are classified as Level 2 in the fair value hierarchy (see Note 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Long-term and Short-Term Debt</w:t>
      </w:r>
    </w:p>
    <w:p>
      <w:pPr>
        <w:spacing w:after="0" w:line="21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 condensed consolidated statements of capitalization provide a summary of the Company’s long-term and short-term debt as of September 30, 2025 and December 31, 2024.</w:t>
      </w:r>
    </w:p>
    <w:p>
      <w:pPr>
        <w:spacing w:after="0" w:line="158"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22"/>
          <w:szCs w:val="22"/>
          <w:color w:val="auto"/>
        </w:rPr>
        <w:t>On August 7, 2025, the Company issued $500,000 of senior notes, less expenses of $1,220, due on August 15, 2035, with an interest rate of 5.25%. The Company used the proceeds from the issuance of senior notes to repay a portion of its commercial paper borrowings and for general corporate purposes.</w:t>
      </w:r>
    </w:p>
    <w:p>
      <w:pPr>
        <w:spacing w:after="0" w:line="17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On June 3, 2025, Aqua Pennsylvania and PNG Companies, LLC amended and restated their respective $100,000 and $300,000 revolving credit agreements extending the maturity date by another 364-day period. The funds borrowed under these agreements are classified as loans payable and are used to provide working capital.</w:t>
      </w:r>
    </w:p>
    <w:p>
      <w:pPr>
        <w:spacing w:after="0" w:line="179"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On May 29, 2025, the Company’s subsidiary, Aqua Pennsylvania, issued $100,000 in aggregate principal amount of first mortgage bonds. The bonds consisted of $75,000 of 5.38% first mortgage bonds due in 2035, and $25,000 of 5.63% first mortgage bonds due in 2040. The proceeds from these bonds were used to repay existing indebtedness and for general corporate purposes.</w:t>
      </w:r>
    </w:p>
    <w:p>
      <w:pPr>
        <w:spacing w:after="0" w:line="19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22"/>
          <w:szCs w:val="22"/>
          <w:color w:val="auto"/>
        </w:rPr>
        <w:t>The Company is obligated to comply with covenants under some of its loan and debt agreements. These covenants contain a number of restrictive financial covenants, which among other things limit, subject to specific exceptions, the Company’s ratio of consolidated total indebtedness to consolidated total capitalization, and require a minimum level of earnings coverage over interest expense. The Company was in compliance with its debt covenants under its loan and debt agreements as of September 30, 2025. Failure to comply with the Company’s debt covenants could result in an event of default, which could result in the Company being required to repay or finance its borrowings before their due date, possibly limiting the Company’s future borrowings, and increasing its borrowing costs.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 </w:t>
      </w:r>
      <w:r>
        <w:rPr>
          <w:rFonts w:ascii="Times New Roman" w:cs="Times New Roman" w:eastAsia="Times New Roman" w:hAnsi="Times New Roman"/>
          <w:sz w:val="22"/>
          <w:szCs w:val="22"/>
          <w:b w:val="1"/>
          <w:bCs w:val="1"/>
          <w:i w:val="1"/>
          <w:iCs w:val="1"/>
          <w:color w:val="auto"/>
        </w:rPr>
        <w:t>Financial Instruments</w:t>
      </w:r>
    </w:p>
    <w:p>
      <w:pPr>
        <w:spacing w:after="0" w:line="212"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nine months ended September 30, 2025.</w:t>
      </w:r>
    </w:p>
    <w:p>
      <w:pPr>
        <w:spacing w:after="0" w:line="19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The fair value of loans payable is determined based on its carrying amount and utilizing Level 1 methods and assumptions. As of September 30, 2025 and December 31, 2024, the carrying amount of the Company’s loans payable was $96,366 and $186,542, respectively, which equates to their estimated fair value. The fair value of cash and cash equivalents is determined based on Level 1 methods 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2"/>
          <w:szCs w:val="22"/>
          <w:color w:val="auto"/>
        </w:rPr>
        <w:t>assumptions. As of September 30, 2025 and December 31, 2024, the carrying amounts of the Company's cash and cash equivalents was $6,397 and $9,156,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September 30, 2025 and December 31, 2024, the carrying amount of these securities was $32,858 and $31,324, respectively, which equates to their fair value, and is reported in the condensed consolidated balance sheet in deferred charges and other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Unrealized gain and loss on equity securities held in conjunction with our non-qualified pension plan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1"/>
        </w:trPr>
        <w:tc>
          <w:tcPr>
            <w:tcW w:w="6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September 30,</w:t>
            </w:r>
          </w:p>
        </w:tc>
      </w:tr>
      <w:tr>
        <w:trPr>
          <w:trHeight w:val="183"/>
        </w:trPr>
        <w:tc>
          <w:tcPr>
            <w:tcW w:w="66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183"/>
        </w:trPr>
        <w:tc>
          <w:tcPr>
            <w:tcW w:w="6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gain/(loss) recognized during the period on equity securities</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1,917</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2,539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984</w:t>
            </w:r>
          </w:p>
        </w:tc>
      </w:tr>
      <w:tr>
        <w:trPr>
          <w:trHeight w:val="189"/>
        </w:trPr>
        <w:tc>
          <w:tcPr>
            <w:tcW w:w="66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Less: net gain recognized during the period on equity securities sold during the period</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37"/>
        </w:trPr>
        <w:tc>
          <w:tcPr>
            <w:tcW w:w="66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5"/>
                <w:szCs w:val="15"/>
                <w:color w:val="auto"/>
              </w:rPr>
              <w:t>Unrealized gain/(loss) recognized during the reporting period on equity securities still held</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221"/>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the reporting date</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245" w:lineRule="auto"/>
        <w:rPr>
          <w:sz w:val="20"/>
          <w:szCs w:val="20"/>
          <w:color w:val="auto"/>
        </w:rPr>
      </w:pPr>
      <w:r>
        <w:rPr>
          <w:rFonts w:ascii="Times New Roman" w:cs="Times New Roman" w:eastAsia="Times New Roman" w:hAnsi="Times New Roman"/>
          <w:sz w:val="22"/>
          <w:szCs w:val="22"/>
          <w:color w:val="auto"/>
        </w:rPr>
        <w:t>The net gain/(loss) recognized on equity securities is presented on the condensed consolidated statements of operations and comprehensive income on the line item “Other, net”.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amounts and estimated fair values of the Company’s long-term debt (which includes CP Notes)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September 30,</w:t>
            </w: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December 31,</w:t>
            </w:r>
          </w:p>
        </w:tc>
      </w:tr>
      <w:tr>
        <w:trPr>
          <w:trHeight w:val="257"/>
        </w:trPr>
        <w:tc>
          <w:tcPr>
            <w:tcW w:w="47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22"/>
                <w:szCs w:val="22"/>
                <w:color w:val="auto"/>
              </w:rPr>
              <w:t>2025</w:t>
            </w:r>
          </w:p>
        </w:tc>
        <w:tc>
          <w:tcPr>
            <w:tcW w:w="3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22"/>
                <w:szCs w:val="22"/>
                <w:color w:val="auto"/>
              </w:rPr>
              <w:t>2024</w:t>
            </w:r>
          </w:p>
        </w:tc>
      </w:tr>
      <w:tr>
        <w:trPr>
          <w:trHeight w:val="223"/>
        </w:trPr>
        <w:tc>
          <w:tcPr>
            <w:tcW w:w="4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Carrying amount</w:t>
            </w:r>
          </w:p>
        </w:tc>
        <w:tc>
          <w:tcPr>
            <w:tcW w:w="520" w:type="dxa"/>
            <w:vAlign w:val="bottom"/>
            <w:shd w:val="clear" w:color="auto" w:fill="CCEEFF"/>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7,878,003</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7,559,096</w:t>
            </w:r>
          </w:p>
        </w:tc>
      </w:t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Estimated fair value</w:t>
            </w:r>
          </w:p>
        </w:tc>
        <w:tc>
          <w:tcPr>
            <w:tcW w:w="5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6,984,749</w:t>
            </w:r>
          </w:p>
        </w:tc>
        <w:tc>
          <w:tcPr>
            <w:tcW w:w="90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6,431,777</w:t>
            </w:r>
          </w:p>
        </w:tc>
      </w:tr>
    </w:tbl>
    <w:p>
      <w:pPr>
        <w:spacing w:after="0" w:line="17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72"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The Convertible Note Investment is recorded at fair value on a recurring basis. Since observable price quotations were not available, this is classified as a Level 3 measurement within fair value hierarchy (see Note 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 </w:t>
      </w:r>
      <w:r>
        <w:rPr>
          <w:rFonts w:ascii="Times New Roman" w:cs="Times New Roman" w:eastAsia="Times New Roman" w:hAnsi="Times New Roman"/>
          <w:sz w:val="22"/>
          <w:szCs w:val="22"/>
          <w:b w:val="1"/>
          <w:bCs w:val="1"/>
          <w:i w:val="1"/>
          <w:iCs w:val="1"/>
          <w:color w:val="auto"/>
        </w:rPr>
        <w:t>Net Income per Common Share</w:t>
      </w:r>
    </w:p>
    <w:p>
      <w:pPr>
        <w:spacing w:after="0" w:line="21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1"/>
          <w:szCs w:val="21"/>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of the stock-based compensation. The treasury stock method assumes that the proceeds from stock-based compensation is used to purchase the Company’s common stock at the average market price during the period. The following table summarizes the shares, in thousands, used in computing basic and diluted net income per common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2740" w:type="dxa"/>
            <w:vAlign w:val="bottom"/>
            <w:gridSpan w:val="4"/>
          </w:tcPr>
          <w:p>
            <w:pPr>
              <w:jc w:val="center"/>
              <w:ind w:right="180"/>
              <w:spacing w:after="0"/>
              <w:rPr>
                <w:sz w:val="20"/>
                <w:szCs w:val="20"/>
                <w:color w:val="auto"/>
              </w:rPr>
            </w:pPr>
            <w:r>
              <w:rPr>
                <w:rFonts w:ascii="Times New Roman" w:cs="Times New Roman" w:eastAsia="Times New Roman" w:hAnsi="Times New Roman"/>
                <w:sz w:val="20"/>
                <w:szCs w:val="20"/>
                <w:color w:val="auto"/>
                <w:w w:val="99"/>
              </w:rPr>
              <w:t>Three Months Ended</w:t>
            </w:r>
          </w:p>
        </w:tc>
        <w:tc>
          <w:tcPr>
            <w:tcW w:w="2480" w:type="dxa"/>
            <w:vAlign w:val="bottom"/>
            <w:gridSpan w:val="3"/>
          </w:tcPr>
          <w:p>
            <w:pPr>
              <w:jc w:val="right"/>
              <w:ind w:right="341"/>
              <w:spacing w:after="0"/>
              <w:rPr>
                <w:sz w:val="20"/>
                <w:szCs w:val="20"/>
                <w:color w:val="auto"/>
              </w:rPr>
            </w:pPr>
            <w:r>
              <w:rPr>
                <w:rFonts w:ascii="Times New Roman" w:cs="Times New Roman" w:eastAsia="Times New Roman" w:hAnsi="Times New Roman"/>
                <w:sz w:val="20"/>
                <w:szCs w:val="20"/>
                <w:color w:val="auto"/>
              </w:rPr>
              <w:t>Nine Months Ended</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1"/>
                <w:szCs w:val="21"/>
                <w:color w:val="auto"/>
              </w:rPr>
            </w:pPr>
          </w:p>
        </w:tc>
        <w:tc>
          <w:tcPr>
            <w:tcW w:w="2740" w:type="dxa"/>
            <w:vAlign w:val="bottom"/>
            <w:gridSpan w:val="4"/>
          </w:tcPr>
          <w:p>
            <w:pPr>
              <w:jc w:val="center"/>
              <w:ind w:right="160"/>
              <w:spacing w:after="0"/>
              <w:rPr>
                <w:sz w:val="20"/>
                <w:szCs w:val="20"/>
                <w:color w:val="auto"/>
              </w:rPr>
            </w:pPr>
            <w:r>
              <w:rPr>
                <w:rFonts w:ascii="Times New Roman" w:cs="Times New Roman" w:eastAsia="Times New Roman" w:hAnsi="Times New Roman"/>
                <w:sz w:val="20"/>
                <w:szCs w:val="20"/>
                <w:color w:val="auto"/>
                <w:w w:val="98"/>
              </w:rPr>
              <w:t>September 30,</w:t>
            </w:r>
          </w:p>
        </w:tc>
        <w:tc>
          <w:tcPr>
            <w:tcW w:w="2480" w:type="dxa"/>
            <w:vAlign w:val="bottom"/>
            <w:gridSpan w:val="3"/>
          </w:tcPr>
          <w:p>
            <w:pPr>
              <w:jc w:val="right"/>
              <w:ind w:right="561"/>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61"/>
              <w:spacing w:after="0" w:line="209" w:lineRule="exact"/>
              <w:rPr>
                <w:sz w:val="20"/>
                <w:szCs w:val="20"/>
                <w:color w:val="auto"/>
              </w:rPr>
            </w:pPr>
            <w:r>
              <w:rPr>
                <w:rFonts w:ascii="Times New Roman" w:cs="Times New Roman" w:eastAsia="Times New Roman" w:hAnsi="Times New Roman"/>
                <w:sz w:val="20"/>
                <w:szCs w:val="20"/>
                <w:color w:val="auto"/>
              </w:rPr>
              <w:t>2025</w:t>
            </w:r>
          </w:p>
        </w:tc>
        <w:tc>
          <w:tcPr>
            <w:tcW w:w="1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21"/>
              <w:spacing w:after="0" w:line="209" w:lineRule="exact"/>
              <w:rPr>
                <w:sz w:val="20"/>
                <w:szCs w:val="20"/>
                <w:color w:val="auto"/>
              </w:rPr>
            </w:pPr>
            <w:r>
              <w:rPr>
                <w:rFonts w:ascii="Times New Roman" w:cs="Times New Roman" w:eastAsia="Times New Roman" w:hAnsi="Times New Roman"/>
                <w:sz w:val="20"/>
                <w:szCs w:val="20"/>
                <w:color w:val="auto"/>
              </w:rPr>
              <w:t>2024</w:t>
            </w:r>
          </w:p>
        </w:tc>
        <w:tc>
          <w:tcPr>
            <w:tcW w:w="1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rPr>
              <w:t>2025</w:t>
            </w:r>
          </w:p>
        </w:tc>
        <w:tc>
          <w:tcPr>
            <w:tcW w:w="20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01"/>
              <w:spacing w:after="0" w:line="209" w:lineRule="exact"/>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160"/>
        </w:trPr>
        <w:tc>
          <w:tcPr>
            <w:tcW w:w="60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auto"/>
              </w:rPr>
              <w:t>Average common shares outstanding during the period for basic</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computation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281,784</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274,021</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279,027</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273,656</w:t>
            </w:r>
          </w:p>
        </w:tc>
        <w:tc>
          <w:tcPr>
            <w:tcW w:w="0" w:type="dxa"/>
            <w:vAlign w:val="bottom"/>
          </w:tcPr>
          <w:p>
            <w:pPr>
              <w:spacing w:after="0"/>
              <w:rPr>
                <w:sz w:val="1"/>
                <w:szCs w:val="1"/>
                <w:color w:val="auto"/>
              </w:rPr>
            </w:pP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Effect of dilutive securities: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Employee stock-based compensation</w:t>
            </w:r>
          </w:p>
        </w:tc>
        <w:tc>
          <w:tcPr>
            <w:tcW w:w="11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514</w:t>
            </w:r>
          </w:p>
        </w:tc>
        <w:tc>
          <w:tcPr>
            <w:tcW w:w="1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522</w:t>
            </w: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533</w:t>
            </w:r>
          </w:p>
        </w:tc>
        <w:tc>
          <w:tcPr>
            <w:tcW w:w="2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471</w:t>
            </w:r>
          </w:p>
        </w:tc>
        <w:tc>
          <w:tcPr>
            <w:tcW w:w="0" w:type="dxa"/>
            <w:vAlign w:val="bottom"/>
          </w:tcPr>
          <w:p>
            <w:pPr>
              <w:spacing w:after="0"/>
              <w:rPr>
                <w:sz w:val="1"/>
                <w:szCs w:val="1"/>
                <w:color w:val="auto"/>
              </w:rPr>
            </w:pPr>
          </w:p>
        </w:tc>
      </w:tr>
      <w:tr>
        <w:trPr>
          <w:trHeight w:val="160"/>
        </w:trPr>
        <w:tc>
          <w:tcPr>
            <w:tcW w:w="602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Average common shares outstanding during the period for diluted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282,298</w:t>
            </w:r>
          </w:p>
        </w:tc>
        <w:tc>
          <w:tcPr>
            <w:tcW w:w="1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274,543</w:t>
            </w:r>
          </w:p>
        </w:tc>
        <w:tc>
          <w:tcPr>
            <w:tcW w:w="1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279,560</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274,127</w:t>
            </w:r>
          </w:p>
        </w:tc>
        <w:tc>
          <w:tcPr>
            <w:tcW w:w="0" w:type="dxa"/>
            <w:vAlign w:val="bottom"/>
          </w:tcPr>
          <w:p>
            <w:pPr>
              <w:spacing w:after="0"/>
              <w:rPr>
                <w:sz w:val="1"/>
                <w:szCs w:val="1"/>
                <w:color w:val="auto"/>
              </w:rPr>
            </w:pPr>
          </w:p>
        </w:tc>
      </w:tr>
      <w:tr>
        <w:trPr>
          <w:trHeight w:val="244"/>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computation</w:t>
            </w:r>
          </w:p>
        </w:tc>
        <w:tc>
          <w:tcPr>
            <w:tcW w:w="112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22"/>
          <w:szCs w:val="22"/>
          <w:color w:val="auto"/>
        </w:rPr>
        <w:t>The number of outstanding employee stock options, in thousands, that were not included in the diluted earnings per share calculation because the effect would have been anti-dilutive was: 433 for the three and nine months ended September 30, 2025; and 244 for the three and nine months ended September 30, 2024. Additionally, the dilutive effect of performance share units and restricted share units granted are included in the Company’s calculation of diluted net income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 </w:t>
      </w:r>
      <w:r>
        <w:rPr>
          <w:rFonts w:ascii="Times New Roman" w:cs="Times New Roman" w:eastAsia="Times New Roman" w:hAnsi="Times New Roman"/>
          <w:sz w:val="22"/>
          <w:szCs w:val="22"/>
          <w:b w:val="1"/>
          <w:bCs w:val="1"/>
          <w:i w:val="1"/>
          <w:iCs w:val="1"/>
          <w:color w:val="auto"/>
        </w:rPr>
        <w:t>Stock-based Compensation</w:t>
      </w:r>
    </w:p>
    <w:p>
      <w:pPr>
        <w:spacing w:after="0" w:line="21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1"/>
          <w:szCs w:val="21"/>
          <w:color w:val="auto"/>
        </w:rPr>
        <w:t>Under the Company’s Amended and Restated Equity Compensation Plan (the “Plan”), stock options, stock units, stock awards, stock appreciation rights, dividend equivalents, and other stock-based awards may be granted to employees, non-employee directors, and consultants and advisors. At September 30, 2025, 682,381 shares were still available for issuance under the Plan.</w:t>
      </w:r>
    </w:p>
    <w:p>
      <w:pPr>
        <w:spacing w:after="0" w:line="15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1"/>
          <w:szCs w:val="21"/>
          <w:b w:val="1"/>
          <w:bCs w:val="1"/>
          <w:i w:val="1"/>
          <w:iCs w:val="1"/>
          <w:color w:val="auto"/>
        </w:rPr>
        <w:t xml:space="preserve">Performance Share Units </w:t>
      </w:r>
      <w:r>
        <w:rPr>
          <w:rFonts w:ascii="Times New Roman" w:cs="Times New Roman" w:eastAsia="Times New Roman" w:hAnsi="Times New Roman"/>
          <w:sz w:val="21"/>
          <w:szCs w:val="21"/>
          <w:color w:val="auto"/>
        </w:rPr>
        <w:t>– A performance share unit (“PSU”) represents the right to receive a share of the Company’s common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performance goals of the 2025 grants consisted of the following metrics: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22"/>
                <w:szCs w:val="22"/>
                <w:color w:val="auto"/>
              </w:rPr>
              <w:t>Metric 1 – Company’s total shareholder return (“TSR”) compared to the TSR for a specific peer group</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40.00%</w:t>
            </w:r>
          </w:p>
        </w:tc>
        <w:tc>
          <w:tcPr>
            <w:tcW w:w="0" w:type="dxa"/>
            <w:vAlign w:val="bottom"/>
          </w:tcPr>
          <w:p>
            <w:pPr>
              <w:spacing w:after="0"/>
              <w:rPr>
                <w:sz w:val="1"/>
                <w:szCs w:val="1"/>
                <w:color w:val="auto"/>
              </w:rPr>
            </w:pPr>
          </w:p>
        </w:tc>
      </w:tr>
      <w:tr>
        <w:trPr>
          <w:trHeight w:val="174"/>
        </w:trPr>
        <w:tc>
          <w:tcPr>
            <w:tcW w:w="4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color w:val="auto"/>
                <w:w w:val="98"/>
              </w:rPr>
              <w:t>of investor-owned utilities (a market-based condition)</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72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9640" w:type="dxa"/>
            <w:vAlign w:val="bottom"/>
            <w:gridSpan w:val="14"/>
          </w:tcPr>
          <w:p>
            <w:pPr>
              <w:spacing w:after="0" w:line="229" w:lineRule="exact"/>
              <w:rPr>
                <w:sz w:val="20"/>
                <w:szCs w:val="20"/>
                <w:color w:val="auto"/>
              </w:rPr>
            </w:pPr>
            <w:r>
              <w:rPr>
                <w:rFonts w:ascii="Times New Roman" w:cs="Times New Roman" w:eastAsia="Times New Roman" w:hAnsi="Times New Roman"/>
                <w:sz w:val="22"/>
                <w:szCs w:val="22"/>
                <w:color w:val="auto"/>
              </w:rPr>
              <w:t>Metric 2 – Achievement of a three-year average return on equity target (a performance-based condition)</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30.00%</w:t>
            </w:r>
          </w:p>
        </w:tc>
        <w:tc>
          <w:tcPr>
            <w:tcW w:w="0" w:type="dxa"/>
            <w:vAlign w:val="bottom"/>
          </w:tcPr>
          <w:p>
            <w:pPr>
              <w:spacing w:after="0"/>
              <w:rPr>
                <w:sz w:val="1"/>
                <w:szCs w:val="1"/>
                <w:color w:val="auto"/>
              </w:rPr>
            </w:pPr>
          </w:p>
        </w:tc>
      </w:tr>
      <w:tr>
        <w:trPr>
          <w:trHeight w:val="202"/>
        </w:trPr>
        <w:tc>
          <w:tcPr>
            <w:tcW w:w="964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22"/>
                <w:szCs w:val="22"/>
                <w:color w:val="auto"/>
              </w:rPr>
              <w:t>Metric 3 – Achievement of a consolidated operations and maintenance expense target over a three-year</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30.00%</w:t>
            </w:r>
          </w:p>
        </w:tc>
        <w:tc>
          <w:tcPr>
            <w:tcW w:w="0" w:type="dxa"/>
            <w:vAlign w:val="bottom"/>
          </w:tcPr>
          <w:p>
            <w:pPr>
              <w:spacing w:after="0"/>
              <w:rPr>
                <w:sz w:val="1"/>
                <w:szCs w:val="1"/>
                <w:color w:val="auto"/>
              </w:rPr>
            </w:pPr>
          </w:p>
        </w:tc>
      </w:tr>
      <w:tr>
        <w:trPr>
          <w:trHeight w:val="174"/>
        </w:trPr>
        <w:tc>
          <w:tcPr>
            <w:tcW w:w="4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color w:val="auto"/>
                <w:w w:val="99"/>
              </w:rPr>
              <w:t>measurement period (a performance-based condition)</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72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75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The following were the assumptions used in the pricing model for the 2025 grants: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22"/>
                <w:szCs w:val="22"/>
                <w:color w:val="auto"/>
              </w:rPr>
              <w:t>2025</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Expected term (years)</w:t>
            </w: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29"/>
        </w:trPr>
        <w:tc>
          <w:tcPr>
            <w:tcW w:w="47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Risk-free interest rate</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4.19%</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volatility</w:t>
            </w: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23.20%</w:t>
            </w:r>
          </w:p>
        </w:tc>
        <w:tc>
          <w:tcPr>
            <w:tcW w:w="0" w:type="dxa"/>
            <w:vAlign w:val="bottom"/>
          </w:tcPr>
          <w:p>
            <w:pPr>
              <w:spacing w:after="0"/>
              <w:rPr>
                <w:sz w:val="1"/>
                <w:szCs w:val="1"/>
                <w:color w:val="auto"/>
              </w:rPr>
            </w:pPr>
          </w:p>
        </w:tc>
      </w:tr>
      <w:tr>
        <w:trPr>
          <w:trHeight w:val="485"/>
        </w:trPr>
        <w:tc>
          <w:tcPr>
            <w:tcW w:w="5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following table provides compensation expense for PSUs: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gridSpan w:val="5"/>
          </w:tcPr>
          <w:p>
            <w:pPr>
              <w:jc w:val="right"/>
              <w:ind w:right="220"/>
              <w:spacing w:after="0"/>
              <w:rPr>
                <w:sz w:val="20"/>
                <w:szCs w:val="20"/>
                <w:color w:val="auto"/>
              </w:rPr>
            </w:pPr>
            <w:r>
              <w:rPr>
                <w:rFonts w:ascii="Times New Roman" w:cs="Times New Roman" w:eastAsia="Times New Roman" w:hAnsi="Times New Roman"/>
                <w:sz w:val="22"/>
                <w:szCs w:val="22"/>
                <w:color w:val="auto"/>
              </w:rPr>
              <w:t>Three Months Ended</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6"/>
          </w:tcPr>
          <w:p>
            <w:pPr>
              <w:jc w:val="right"/>
              <w:ind w:right="532"/>
              <w:spacing w:after="0"/>
              <w:rPr>
                <w:sz w:val="20"/>
                <w:szCs w:val="20"/>
                <w:color w:val="auto"/>
              </w:rPr>
            </w:pPr>
            <w:r>
              <w:rPr>
                <w:rFonts w:ascii="Times New Roman" w:cs="Times New Roman" w:eastAsia="Times New Roman" w:hAnsi="Times New Roman"/>
                <w:sz w:val="22"/>
                <w:szCs w:val="22"/>
                <w:color w:val="auto"/>
              </w:rPr>
              <w:t>Nine Months Ended</w:t>
            </w: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22"/>
                <w:szCs w:val="22"/>
                <w:color w:val="auto"/>
                <w:w w:val="97"/>
              </w:rPr>
              <w:t>September 30,</w:t>
            </w:r>
          </w:p>
        </w:tc>
        <w:tc>
          <w:tcPr>
            <w:tcW w:w="4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6"/>
          </w:tcPr>
          <w:p>
            <w:pPr>
              <w:jc w:val="right"/>
              <w:ind w:right="792"/>
              <w:spacing w:after="0"/>
              <w:rPr>
                <w:sz w:val="20"/>
                <w:szCs w:val="20"/>
                <w:color w:val="auto"/>
              </w:rPr>
            </w:pPr>
            <w:r>
              <w:rPr>
                <w:rFonts w:ascii="Times New Roman" w:cs="Times New Roman" w:eastAsia="Times New Roman" w:hAnsi="Times New Roman"/>
                <w:sz w:val="22"/>
                <w:szCs w:val="22"/>
                <w:color w:val="auto"/>
              </w:rPr>
              <w:t>September 30,</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72"/>
              <w:spacing w:after="0" w:line="223" w:lineRule="exact"/>
              <w:rPr>
                <w:sz w:val="20"/>
                <w:szCs w:val="20"/>
                <w:color w:val="auto"/>
              </w:rPr>
            </w:pPr>
            <w:r>
              <w:rPr>
                <w:rFonts w:ascii="Times New Roman" w:cs="Times New Roman" w:eastAsia="Times New Roman" w:hAnsi="Times New Roman"/>
                <w:sz w:val="22"/>
                <w:szCs w:val="22"/>
                <w:color w:val="auto"/>
                <w:w w:val="95"/>
              </w:rPr>
              <w:t>2024</w:t>
            </w:r>
          </w:p>
        </w:tc>
        <w:tc>
          <w:tcPr>
            <w:tcW w:w="0" w:type="dxa"/>
            <w:vAlign w:val="bottom"/>
          </w:tcPr>
          <w:p>
            <w:pPr>
              <w:spacing w:after="0"/>
              <w:rPr>
                <w:sz w:val="1"/>
                <w:szCs w:val="1"/>
                <w:color w:val="auto"/>
              </w:rPr>
            </w:pPr>
          </w:p>
        </w:tc>
      </w:tr>
      <w:tr>
        <w:trPr>
          <w:trHeight w:val="182"/>
        </w:trPr>
        <w:tc>
          <w:tcPr>
            <w:tcW w:w="47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102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w w:val="96"/>
              </w:rPr>
              <w:t>2,487</w:t>
            </w:r>
          </w:p>
        </w:tc>
        <w:tc>
          <w:tcPr>
            <w:tcW w:w="11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986</w:t>
            </w:r>
          </w:p>
        </w:tc>
        <w:tc>
          <w:tcPr>
            <w:tcW w:w="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5,734</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2,174</w:t>
            </w:r>
          </w:p>
        </w:tc>
        <w:tc>
          <w:tcPr>
            <w:tcW w:w="0" w:type="dxa"/>
            <w:vAlign w:val="bottom"/>
          </w:tcPr>
          <w:p>
            <w:pPr>
              <w:spacing w:after="0"/>
              <w:rPr>
                <w:sz w:val="1"/>
                <w:szCs w:val="1"/>
                <w:color w:val="auto"/>
              </w:rPr>
            </w:pPr>
          </w:p>
        </w:tc>
      </w:tr>
      <w:tr>
        <w:trPr>
          <w:trHeight w:val="282"/>
        </w:trPr>
        <w:tc>
          <w:tcPr>
            <w:tcW w:w="472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02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629</w:t>
            </w:r>
          </w:p>
        </w:tc>
        <w:tc>
          <w:tcPr>
            <w:tcW w:w="1160" w:type="dxa"/>
            <w:vAlign w:val="bottom"/>
            <w:gridSpan w:val="2"/>
          </w:tcPr>
          <w:p>
            <w:pPr>
              <w:jc w:val="right"/>
              <w:ind w:right="940"/>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248</w:t>
            </w:r>
          </w:p>
        </w:tc>
        <w:tc>
          <w:tcPr>
            <w:tcW w:w="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1,450</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545</w:t>
            </w:r>
          </w:p>
        </w:tc>
        <w:tc>
          <w:tcPr>
            <w:tcW w:w="0" w:type="dxa"/>
            <w:vAlign w:val="bottom"/>
          </w:tcPr>
          <w:p>
            <w:pPr>
              <w:spacing w:after="0"/>
              <w:rPr>
                <w:sz w:val="1"/>
                <w:szCs w:val="1"/>
                <w:color w:val="auto"/>
              </w:rPr>
            </w:pPr>
          </w:p>
        </w:tc>
      </w:tr>
      <w:tr>
        <w:trPr>
          <w:trHeight w:val="432"/>
        </w:trPr>
        <w:tc>
          <w:tcPr>
            <w:tcW w:w="964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The following table summarizes the PSU transactions for the nine months ended September 30, 2025: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4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22"/>
                <w:szCs w:val="22"/>
                <w:color w:val="auto"/>
                <w:w w:val="99"/>
              </w:rPr>
              <w:t>Number</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5"/>
              </w:rPr>
              <w:t>Weighted</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44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22"/>
                <w:szCs w:val="22"/>
                <w:color w:val="auto"/>
                <w:w w:val="98"/>
              </w:rPr>
              <w:t>Share Units</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6"/>
              </w:rPr>
              <w:t>Fair Value</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beginning of period</w:t>
            </w:r>
          </w:p>
        </w:tc>
        <w:tc>
          <w:tcPr>
            <w:tcW w:w="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563,656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20"/>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38.61</w:t>
            </w:r>
          </w:p>
        </w:tc>
        <w:tc>
          <w:tcPr>
            <w:tcW w:w="0" w:type="dxa"/>
            <w:vAlign w:val="bottom"/>
          </w:tcPr>
          <w:p>
            <w:pPr>
              <w:spacing w:after="0"/>
              <w:rPr>
                <w:sz w:val="1"/>
                <w:szCs w:val="1"/>
                <w:color w:val="auto"/>
              </w:rPr>
            </w:pPr>
          </w:p>
        </w:tc>
      </w:tr>
      <w:tr>
        <w:trPr>
          <w:trHeight w:val="230"/>
        </w:trPr>
        <w:tc>
          <w:tcPr>
            <w:tcW w:w="47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195,300</w:t>
            </w:r>
          </w:p>
        </w:tc>
        <w:tc>
          <w:tcPr>
            <w:tcW w:w="80" w:type="dxa"/>
            <w:vAlign w:val="bottom"/>
          </w:tcPr>
          <w:p>
            <w:pPr>
              <w:spacing w:after="0"/>
              <w:rPr>
                <w:sz w:val="19"/>
                <w:szCs w:val="19"/>
                <w:color w:val="auto"/>
              </w:rPr>
            </w:pPr>
          </w:p>
        </w:tc>
        <w:tc>
          <w:tcPr>
            <w:tcW w:w="360" w:type="dxa"/>
            <w:vAlign w:val="bottom"/>
            <w:gridSpan w:val="3"/>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34.25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Performance criteria adjustment</w:t>
            </w: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(23,220)</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37.00</w:t>
            </w:r>
          </w:p>
        </w:tc>
        <w:tc>
          <w:tcPr>
            <w:tcW w:w="0" w:type="dxa"/>
            <w:vAlign w:val="bottom"/>
          </w:tcPr>
          <w:p>
            <w:pPr>
              <w:spacing w:after="0"/>
              <w:rPr>
                <w:sz w:val="1"/>
                <w:szCs w:val="1"/>
                <w:color w:val="auto"/>
              </w:rPr>
            </w:pPr>
          </w:p>
        </w:tc>
      </w:tr>
      <w:tr>
        <w:trPr>
          <w:trHeight w:val="230"/>
        </w:trPr>
        <w:tc>
          <w:tcPr>
            <w:tcW w:w="47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Share units issued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(103,775)</w:t>
            </w:r>
          </w:p>
        </w:tc>
        <w:tc>
          <w:tcPr>
            <w:tcW w:w="80" w:type="dxa"/>
            <w:vAlign w:val="bottom"/>
          </w:tcPr>
          <w:p>
            <w:pPr>
              <w:spacing w:after="0"/>
              <w:rPr>
                <w:sz w:val="19"/>
                <w:szCs w:val="19"/>
                <w:color w:val="auto"/>
              </w:rPr>
            </w:pPr>
          </w:p>
        </w:tc>
        <w:tc>
          <w:tcPr>
            <w:tcW w:w="360" w:type="dxa"/>
            <w:vAlign w:val="bottom"/>
            <w:gridSpan w:val="3"/>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42.77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(15,094)</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37.89</w:t>
            </w:r>
          </w:p>
        </w:tc>
        <w:tc>
          <w:tcPr>
            <w:tcW w:w="0" w:type="dxa"/>
            <w:vAlign w:val="bottom"/>
          </w:tcPr>
          <w:p>
            <w:pPr>
              <w:spacing w:after="0"/>
              <w:rPr>
                <w:sz w:val="1"/>
                <w:szCs w:val="1"/>
                <w:color w:val="auto"/>
              </w:rPr>
            </w:pPr>
          </w:p>
        </w:tc>
      </w:tr>
      <w:tr>
        <w:trPr>
          <w:trHeight w:val="223"/>
        </w:trPr>
        <w:tc>
          <w:tcPr>
            <w:tcW w:w="47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end of period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616,867</w:t>
            </w:r>
          </w:p>
        </w:tc>
        <w:tc>
          <w:tcPr>
            <w:tcW w:w="80" w:type="dxa"/>
            <w:vAlign w:val="bottom"/>
          </w:tcPr>
          <w:p>
            <w:pPr>
              <w:spacing w:after="0"/>
              <w:rPr>
                <w:sz w:val="19"/>
                <w:szCs w:val="19"/>
                <w:color w:val="auto"/>
              </w:rPr>
            </w:pPr>
          </w:p>
        </w:tc>
        <w:tc>
          <w:tcPr>
            <w:tcW w:w="36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36.61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PSUs granted during the nine months ended September 30, 2025 and 2024 was $34.25 and $38.10,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Units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restricted stock unit (“RSU”) represents the right to receive a share of the Company’s common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prior years, RSUs were eligible to be earned at the end of a specified restricted period, which is generally three years, beginning on the date of grant. RSUs granted in 2025 vest 33% each year. The following table provides the compensation expense and income tax benefit for RSUs: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0" w:type="dxa"/>
            <w:vAlign w:val="bottom"/>
            <w:gridSpan w:val="5"/>
          </w:tcPr>
          <w:p>
            <w:pPr>
              <w:jc w:val="center"/>
              <w:ind w:right="50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60" w:type="dxa"/>
            <w:vAlign w:val="bottom"/>
            <w:gridSpan w:val="6"/>
          </w:tcPr>
          <w:p>
            <w:pPr>
              <w:jc w:val="right"/>
              <w:ind w:right="69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0" w:type="dxa"/>
            <w:vAlign w:val="bottom"/>
            <w:gridSpan w:val="5"/>
          </w:tcPr>
          <w:p>
            <w:pPr>
              <w:jc w:val="center"/>
              <w:ind w:right="500"/>
              <w:spacing w:after="0"/>
              <w:rPr>
                <w:sz w:val="20"/>
                <w:szCs w:val="20"/>
                <w:color w:val="auto"/>
              </w:rPr>
            </w:pPr>
            <w:r>
              <w:rPr>
                <w:rFonts w:ascii="Times New Roman" w:cs="Times New Roman" w:eastAsia="Times New Roman" w:hAnsi="Times New Roman"/>
                <w:sz w:val="22"/>
                <w:szCs w:val="22"/>
                <w:color w:val="auto"/>
                <w:w w:val="99"/>
              </w:rPr>
              <w:t>September 30,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60" w:type="dxa"/>
            <w:vAlign w:val="bottom"/>
            <w:gridSpan w:val="6"/>
          </w:tcPr>
          <w:p>
            <w:pPr>
              <w:jc w:val="right"/>
              <w:ind w:right="952"/>
              <w:spacing w:after="0"/>
              <w:rPr>
                <w:sz w:val="20"/>
                <w:szCs w:val="20"/>
                <w:color w:val="auto"/>
              </w:rPr>
            </w:pPr>
            <w:r>
              <w:rPr>
                <w:rFonts w:ascii="Times New Roman" w:cs="Times New Roman" w:eastAsia="Times New Roman" w:hAnsi="Times New Roman"/>
                <w:sz w:val="22"/>
                <w:szCs w:val="22"/>
                <w:color w:val="auto"/>
              </w:rPr>
              <w:t>September 30,</w:t>
            </w:r>
          </w:p>
        </w:tc>
      </w:tr>
      <w:tr>
        <w:trPr>
          <w:trHeight w:val="223"/>
        </w:trPr>
        <w:tc>
          <w:tcPr>
            <w:tcW w:w="48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4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center"/>
              <w:ind w:right="12"/>
              <w:spacing w:after="0" w:line="223" w:lineRule="exact"/>
              <w:rPr>
                <w:sz w:val="20"/>
                <w:szCs w:val="20"/>
                <w:color w:val="auto"/>
              </w:rPr>
            </w:pPr>
            <w:r>
              <w:rPr>
                <w:rFonts w:ascii="Times New Roman" w:cs="Times New Roman" w:eastAsia="Times New Roman" w:hAnsi="Times New Roman"/>
                <w:sz w:val="22"/>
                <w:szCs w:val="22"/>
                <w:color w:val="auto"/>
                <w:w w:val="99"/>
              </w:rPr>
              <w:t>2025</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right="92"/>
              <w:spacing w:after="0" w:line="223" w:lineRule="exact"/>
              <w:rPr>
                <w:sz w:val="20"/>
                <w:szCs w:val="20"/>
                <w:color w:val="auto"/>
              </w:rPr>
            </w:pPr>
            <w:r>
              <w:rPr>
                <w:rFonts w:ascii="Times New Roman" w:cs="Times New Roman" w:eastAsia="Times New Roman" w:hAnsi="Times New Roman"/>
                <w:sz w:val="22"/>
                <w:szCs w:val="22"/>
                <w:color w:val="auto"/>
                <w:w w:val="99"/>
              </w:rPr>
              <w:t>2024</w:t>
            </w:r>
          </w:p>
        </w:tc>
      </w:tr>
      <w:tr>
        <w:trPr>
          <w:trHeight w:val="182"/>
        </w:trPr>
        <w:tc>
          <w:tcPr>
            <w:tcW w:w="48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7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1,317</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508</w:t>
            </w:r>
          </w:p>
        </w:tc>
        <w:tc>
          <w:tcPr>
            <w:tcW w:w="24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3,845</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2,078</w:t>
            </w:r>
          </w:p>
        </w:tc>
      </w:tr>
      <w:tr>
        <w:trPr>
          <w:trHeight w:val="282"/>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334</w:t>
            </w:r>
          </w:p>
        </w:tc>
        <w:tc>
          <w:tcPr>
            <w:tcW w:w="2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c>
          <w:tcPr>
            <w:tcW w:w="24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973</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521</w:t>
            </w:r>
          </w:p>
        </w:tc>
      </w:tr>
      <w:tr>
        <w:trPr>
          <w:trHeight w:val="459"/>
        </w:trPr>
        <w:tc>
          <w:tcPr>
            <w:tcW w:w="948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The following table summarizes the RSU transactions for the nine months ended September 30, 2025: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3"/>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7"/>
              </w:rPr>
              <w:t>Number</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30"/>
        </w:trPr>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2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right="15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8"/>
              </w:rPr>
              <w:t>Stock Units</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484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beginning of period</w:t>
            </w:r>
          </w:p>
        </w:tc>
        <w:tc>
          <w:tcPr>
            <w:tcW w:w="2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210,249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60"/>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41.40</w:t>
            </w:r>
          </w:p>
        </w:tc>
      </w:tr>
      <w:tr>
        <w:trPr>
          <w:trHeight w:val="229"/>
        </w:trPr>
        <w:tc>
          <w:tcPr>
            <w:tcW w:w="48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156,225</w:t>
            </w:r>
          </w:p>
        </w:tc>
        <w:tc>
          <w:tcPr>
            <w:tcW w:w="80" w:type="dxa"/>
            <w:vAlign w:val="bottom"/>
          </w:tcPr>
          <w:p>
            <w:pPr>
              <w:spacing w:after="0"/>
              <w:rPr>
                <w:sz w:val="19"/>
                <w:szCs w:val="19"/>
                <w:color w:val="auto"/>
              </w:rPr>
            </w:pPr>
          </w:p>
        </w:tc>
        <w:tc>
          <w:tcPr>
            <w:tcW w:w="400" w:type="dxa"/>
            <w:vAlign w:val="bottom"/>
            <w:gridSpan w:val="3"/>
          </w:tcPr>
          <w:p>
            <w:pPr>
              <w:jc w:val="right"/>
              <w:ind w:right="16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35.54</w:t>
            </w:r>
          </w:p>
        </w:tc>
      </w:tr>
      <w:tr>
        <w:trPr>
          <w:trHeight w:val="230"/>
        </w:trPr>
        <w:tc>
          <w:tcPr>
            <w:tcW w:w="48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Actual vested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line="229" w:lineRule="exact"/>
              <w:rPr>
                <w:sz w:val="20"/>
                <w:szCs w:val="20"/>
                <w:color w:val="auto"/>
              </w:rPr>
            </w:pPr>
            <w:r>
              <w:rPr>
                <w:rFonts w:ascii="Times New Roman" w:cs="Times New Roman" w:eastAsia="Times New Roman" w:hAnsi="Times New Roman"/>
                <w:sz w:val="22"/>
                <w:szCs w:val="22"/>
                <w:color w:val="auto"/>
              </w:rPr>
              <w:t>(57,496)</w:t>
            </w:r>
          </w:p>
        </w:tc>
        <w:tc>
          <w:tcPr>
            <w:tcW w:w="400" w:type="dxa"/>
            <w:vAlign w:val="bottom"/>
            <w:gridSpan w:val="3"/>
            <w:shd w:val="clear" w:color="auto" w:fill="CCEEFF"/>
          </w:tcPr>
          <w:p>
            <w:pPr>
              <w:jc w:val="right"/>
              <w:ind w:right="16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44.53</w:t>
            </w:r>
          </w:p>
        </w:tc>
      </w:tr>
      <w:tr>
        <w:trPr>
          <w:trHeight w:val="229"/>
        </w:trPr>
        <w:tc>
          <w:tcPr>
            <w:tcW w:w="48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80"/>
              <w:spacing w:after="0" w:line="229" w:lineRule="exact"/>
              <w:rPr>
                <w:sz w:val="20"/>
                <w:szCs w:val="20"/>
                <w:color w:val="auto"/>
              </w:rPr>
            </w:pPr>
            <w:r>
              <w:rPr>
                <w:rFonts w:ascii="Times New Roman" w:cs="Times New Roman" w:eastAsia="Times New Roman" w:hAnsi="Times New Roman"/>
                <w:sz w:val="22"/>
                <w:szCs w:val="22"/>
                <w:color w:val="auto"/>
              </w:rPr>
              <w:t>(7,796)</w:t>
            </w:r>
          </w:p>
        </w:tc>
        <w:tc>
          <w:tcPr>
            <w:tcW w:w="400" w:type="dxa"/>
            <w:vAlign w:val="bottom"/>
            <w:gridSpan w:val="3"/>
          </w:tcPr>
          <w:p>
            <w:pPr>
              <w:jc w:val="right"/>
              <w:ind w:right="16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37.69</w:t>
            </w:r>
          </w:p>
        </w:tc>
      </w:tr>
      <w:tr>
        <w:trPr>
          <w:trHeight w:val="223"/>
        </w:trPr>
        <w:tc>
          <w:tcPr>
            <w:tcW w:w="48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end of period</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301,182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gridSpan w:val="3"/>
            <w:shd w:val="clear" w:color="auto" w:fill="CCEEFF"/>
          </w:tcPr>
          <w:p>
            <w:pPr>
              <w:jc w:val="right"/>
              <w:ind w:right="16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37.52</w:t>
            </w:r>
          </w:p>
        </w:tc>
      </w:tr>
      <w:tr>
        <w:trPr>
          <w:trHeight w:val="20"/>
        </w:trPr>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RSUs granted during the nine months ended September 30, 2025 and 2024 was $35.54 and $36.61, respectively.</w:t>
      </w:r>
    </w:p>
    <w:p>
      <w:pPr>
        <w:spacing w:after="0" w:line="180"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Options </w:t>
      </w:r>
      <w:r>
        <w:rPr>
          <w:rFonts w:ascii="Times New Roman" w:cs="Times New Roman" w:eastAsia="Times New Roman" w:hAnsi="Times New Roman"/>
          <w:sz w:val="22"/>
          <w:szCs w:val="22"/>
          <w:color w:val="auto"/>
        </w:rPr>
        <w:t>– A stock option represents the option to purchase a number of shares of common stock of the Company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following table provides the compensation cost and income tax benefit for stock-based compensation related to stock options: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5"/>
          </w:tcPr>
          <w:p>
            <w:pPr>
              <w:jc w:val="center"/>
              <w:ind w:right="40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280" w:type="dxa"/>
            <w:vAlign w:val="bottom"/>
          </w:tcPr>
          <w:p>
            <w:pPr>
              <w:spacing w:after="0"/>
              <w:rPr>
                <w:sz w:val="21"/>
                <w:szCs w:val="21"/>
                <w:color w:val="auto"/>
              </w:rPr>
            </w:pPr>
          </w:p>
        </w:tc>
        <w:tc>
          <w:tcPr>
            <w:tcW w:w="2560" w:type="dxa"/>
            <w:vAlign w:val="bottom"/>
            <w:gridSpan w:val="4"/>
          </w:tcPr>
          <w:p>
            <w:pPr>
              <w:jc w:val="right"/>
              <w:ind w:right="43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4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40" w:type="dxa"/>
            <w:vAlign w:val="bottom"/>
            <w:gridSpan w:val="5"/>
          </w:tcPr>
          <w:p>
            <w:pPr>
              <w:jc w:val="center"/>
              <w:ind w:right="380"/>
              <w:spacing w:after="0"/>
              <w:rPr>
                <w:sz w:val="20"/>
                <w:szCs w:val="20"/>
                <w:color w:val="auto"/>
              </w:rPr>
            </w:pPr>
            <w:r>
              <w:rPr>
                <w:rFonts w:ascii="Times New Roman" w:cs="Times New Roman" w:eastAsia="Times New Roman" w:hAnsi="Times New Roman"/>
                <w:sz w:val="22"/>
                <w:szCs w:val="22"/>
                <w:color w:val="auto"/>
                <w:w w:val="97"/>
              </w:rPr>
              <w:t>September 30,</w:t>
            </w:r>
          </w:p>
        </w:tc>
        <w:tc>
          <w:tcPr>
            <w:tcW w:w="280" w:type="dxa"/>
            <w:vAlign w:val="bottom"/>
          </w:tcPr>
          <w:p>
            <w:pPr>
              <w:spacing w:after="0"/>
              <w:rPr>
                <w:sz w:val="22"/>
                <w:szCs w:val="22"/>
                <w:color w:val="auto"/>
              </w:rPr>
            </w:pPr>
          </w:p>
        </w:tc>
        <w:tc>
          <w:tcPr>
            <w:tcW w:w="2560" w:type="dxa"/>
            <w:vAlign w:val="bottom"/>
            <w:gridSpan w:val="4"/>
          </w:tcPr>
          <w:p>
            <w:pPr>
              <w:jc w:val="right"/>
              <w:ind w:right="592"/>
              <w:spacing w:after="0"/>
              <w:rPr>
                <w:sz w:val="20"/>
                <w:szCs w:val="20"/>
                <w:color w:val="auto"/>
              </w:rPr>
            </w:pPr>
            <w:r>
              <w:rPr>
                <w:rFonts w:ascii="Times New Roman" w:cs="Times New Roman" w:eastAsia="Times New Roman" w:hAnsi="Times New Roman"/>
                <w:sz w:val="22"/>
                <w:szCs w:val="22"/>
                <w:color w:val="auto"/>
              </w:rPr>
              <w:t>September 30,</w:t>
            </w:r>
          </w:p>
        </w:tc>
      </w:tr>
      <w:tr>
        <w:trPr>
          <w:trHeight w:val="223"/>
        </w:trPr>
        <w:tc>
          <w:tcPr>
            <w:tcW w:w="47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2024</w:t>
            </w:r>
          </w:p>
        </w:tc>
      </w:tr>
      <w:tr>
        <w:trPr>
          <w:trHeight w:val="182"/>
        </w:trPr>
        <w:tc>
          <w:tcPr>
            <w:tcW w:w="47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7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308</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1,417</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233</w:t>
            </w:r>
          </w:p>
        </w:tc>
      </w:t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20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4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356</w:t>
            </w:r>
          </w:p>
        </w:tc>
        <w:tc>
          <w:tcPr>
            <w:tcW w:w="20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432"/>
        </w:trPr>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20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6"/>
        </w:trPr>
        <w:tc>
          <w:tcPr>
            <w:tcW w:w="4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00"/>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1080"/>
        <w:spacing w:after="0" w:line="245" w:lineRule="auto"/>
        <w:rPr>
          <w:sz w:val="20"/>
          <w:szCs w:val="20"/>
          <w:color w:val="auto"/>
        </w:rPr>
      </w:pPr>
      <w:r>
        <w:rPr>
          <w:rFonts w:ascii="Times New Roman" w:cs="Times New Roman" w:eastAsia="Times New Roman" w:hAnsi="Times New Roman"/>
          <w:sz w:val="22"/>
          <w:szCs w:val="22"/>
          <w:color w:val="auto"/>
        </w:rPr>
        <w:t>The fair value of options was estimated at the grant date using the Black-Scholes option-pricing model. The following assumptions were used in the application of this valuation model for the 2025 grant: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9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22"/>
                <w:szCs w:val="22"/>
                <w:color w:val="auto"/>
              </w:rPr>
              <w:t>2025</w:t>
            </w:r>
          </w:p>
        </w:tc>
      </w:tr>
      <w:tr>
        <w:trPr>
          <w:trHeight w:val="223"/>
        </w:trPr>
        <w:tc>
          <w:tcPr>
            <w:tcW w:w="89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Expected term (years)</w:t>
            </w:r>
          </w:p>
        </w:tc>
        <w:tc>
          <w:tcPr>
            <w:tcW w:w="5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5.54</w:t>
            </w:r>
          </w:p>
        </w:tc>
      </w:tr>
      <w:tr>
        <w:trPr>
          <w:trHeight w:val="229"/>
        </w:trPr>
        <w:tc>
          <w:tcPr>
            <w:tcW w:w="89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Risk-free interest rate</w:t>
            </w:r>
          </w:p>
        </w:tc>
        <w:tc>
          <w:tcPr>
            <w:tcW w:w="52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4.22%</w:t>
            </w:r>
          </w:p>
        </w:tc>
      </w:tr>
      <w:tr>
        <w:trPr>
          <w:trHeight w:val="230"/>
        </w:trPr>
        <w:tc>
          <w:tcPr>
            <w:tcW w:w="89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volatility</w:t>
            </w:r>
          </w:p>
        </w:tc>
        <w:tc>
          <w:tcPr>
            <w:tcW w:w="5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28.50%</w:t>
            </w:r>
          </w:p>
        </w:tc>
      </w:tr>
      <w:tr>
        <w:trPr>
          <w:trHeight w:val="229"/>
        </w:trPr>
        <w:tc>
          <w:tcPr>
            <w:tcW w:w="89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Dividend yield</w:t>
            </w:r>
          </w:p>
        </w:tc>
        <w:tc>
          <w:tcPr>
            <w:tcW w:w="52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3.69%</w:t>
            </w:r>
          </w:p>
        </w:tc>
      </w:tr>
      <w:tr>
        <w:trPr>
          <w:trHeight w:val="229"/>
        </w:trPr>
        <w:tc>
          <w:tcPr>
            <w:tcW w:w="89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Grant date fair value per option</w:t>
            </w:r>
          </w:p>
        </w:tc>
        <w:tc>
          <w:tcPr>
            <w:tcW w:w="520" w:type="dxa"/>
            <w:vAlign w:val="bottom"/>
            <w:shd w:val="clear" w:color="auto" w:fill="CCEEFF"/>
          </w:tcPr>
          <w:p>
            <w:pPr>
              <w:jc w:val="right"/>
              <w:ind w:right="31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8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7.95</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option transactions for the nine months ended September 30,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color w:val="auto"/>
                <w:w w:val="95"/>
              </w:rPr>
              <w:t>Weighted</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Weighted</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5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360"/>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44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8"/>
              </w:rPr>
              <w:t>Aggregate</w:t>
            </w:r>
          </w:p>
        </w:tc>
      </w:tr>
      <w:tr>
        <w:trPr>
          <w:trHeight w:val="230"/>
        </w:trPr>
        <w:tc>
          <w:tcPr>
            <w:tcW w:w="5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380"/>
              <w:spacing w:after="0" w:line="229" w:lineRule="exact"/>
              <w:rPr>
                <w:sz w:val="20"/>
                <w:szCs w:val="20"/>
                <w:color w:val="auto"/>
              </w:rPr>
            </w:pPr>
            <w:r>
              <w:rPr>
                <w:rFonts w:ascii="Times New Roman" w:cs="Times New Roman" w:eastAsia="Times New Roman" w:hAnsi="Times New Roman"/>
                <w:sz w:val="22"/>
                <w:szCs w:val="22"/>
                <w:color w:val="auto"/>
                <w:w w:val="97"/>
              </w:rPr>
              <w:t>Exercise</w:t>
            </w:r>
          </w:p>
        </w:tc>
        <w:tc>
          <w:tcPr>
            <w:tcW w:w="144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Remaining</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center"/>
              <w:ind w:right="152"/>
              <w:spacing w:after="0" w:line="229" w:lineRule="exact"/>
              <w:rPr>
                <w:sz w:val="20"/>
                <w:szCs w:val="20"/>
                <w:color w:val="auto"/>
              </w:rPr>
            </w:pPr>
            <w:r>
              <w:rPr>
                <w:rFonts w:ascii="Times New Roman" w:cs="Times New Roman" w:eastAsia="Times New Roman" w:hAnsi="Times New Roman"/>
                <w:sz w:val="22"/>
                <w:szCs w:val="22"/>
                <w:color w:val="auto"/>
                <w:w w:val="98"/>
              </w:rPr>
              <w:t>Intrinsic</w:t>
            </w:r>
          </w:p>
        </w:tc>
      </w:tr>
      <w:tr>
        <w:trPr>
          <w:trHeight w:val="257"/>
        </w:trPr>
        <w:tc>
          <w:tcPr>
            <w:tcW w:w="5020" w:type="dxa"/>
            <w:vAlign w:val="bottom"/>
          </w:tcPr>
          <w:p>
            <w:pPr>
              <w:spacing w:after="0"/>
              <w:rPr>
                <w:sz w:val="22"/>
                <w:szCs w:val="22"/>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Shares</w:t>
            </w:r>
          </w:p>
        </w:tc>
        <w:tc>
          <w:tcPr>
            <w:tcW w:w="18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color w:val="auto"/>
                <w:w w:val="97"/>
              </w:rPr>
              <w:t>Price</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Life (years)</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Value</w:t>
            </w:r>
          </w:p>
        </w:tc>
      </w:tr>
      <w:tr>
        <w:trPr>
          <w:trHeight w:val="223"/>
        </w:trPr>
        <w:tc>
          <w:tcPr>
            <w:tcW w:w="50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Outstanding at beginning of period</w:t>
            </w:r>
          </w:p>
        </w:tc>
        <w:tc>
          <w:tcPr>
            <w:tcW w:w="13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906,902</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36.87</w:t>
            </w:r>
          </w:p>
        </w:tc>
        <w:tc>
          <w:tcPr>
            <w:tcW w:w="1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29"/>
        </w:trPr>
        <w:tc>
          <w:tcPr>
            <w:tcW w:w="50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197,684</w:t>
            </w:r>
          </w:p>
        </w:tc>
        <w:tc>
          <w:tcPr>
            <w:tcW w:w="180" w:type="dxa"/>
            <w:vAlign w:val="bottom"/>
          </w:tcPr>
          <w:p>
            <w:pPr>
              <w:spacing w:after="0"/>
              <w:rPr>
                <w:sz w:val="19"/>
                <w:szCs w:val="19"/>
                <w:color w:val="auto"/>
              </w:rPr>
            </w:pPr>
          </w:p>
        </w:tc>
        <w:tc>
          <w:tcPr>
            <w:tcW w:w="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35.33</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0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1520" w:type="dxa"/>
            <w:vAlign w:val="bottom"/>
            <w:gridSpan w:val="2"/>
            <w:shd w:val="clear" w:color="auto" w:fill="CCEEFF"/>
          </w:tcPr>
          <w:p>
            <w:pPr>
              <w:jc w:val="right"/>
              <w:ind w:right="180"/>
              <w:spacing w:after="0" w:line="229" w:lineRule="exact"/>
              <w:rPr>
                <w:sz w:val="20"/>
                <w:szCs w:val="20"/>
                <w:color w:val="auto"/>
              </w:rPr>
            </w:pPr>
            <w:r>
              <w:rPr>
                <w:rFonts w:ascii="Times New Roman" w:cs="Times New Roman" w:eastAsia="Times New Roman" w:hAnsi="Times New Roman"/>
                <w:sz w:val="22"/>
                <w:szCs w:val="22"/>
                <w:color w:val="auto"/>
              </w:rPr>
              <w:t>(6,566)</w:t>
            </w:r>
          </w:p>
        </w:tc>
        <w:tc>
          <w:tcPr>
            <w:tcW w:w="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36.16</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0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Expired</w:t>
            </w:r>
          </w:p>
        </w:tc>
        <w:tc>
          <w:tcPr>
            <w:tcW w:w="1520" w:type="dxa"/>
            <w:vAlign w:val="bottom"/>
            <w:gridSpan w:val="2"/>
          </w:tcPr>
          <w:p>
            <w:pPr>
              <w:jc w:val="right"/>
              <w:ind w:right="180"/>
              <w:spacing w:after="0" w:line="229" w:lineRule="exact"/>
              <w:rPr>
                <w:sz w:val="20"/>
                <w:szCs w:val="20"/>
                <w:color w:val="auto"/>
              </w:rPr>
            </w:pPr>
            <w:r>
              <w:rPr>
                <w:rFonts w:ascii="Times New Roman" w:cs="Times New Roman" w:eastAsia="Times New Roman" w:hAnsi="Times New Roman"/>
                <w:sz w:val="22"/>
                <w:szCs w:val="22"/>
                <w:color w:val="auto"/>
              </w:rPr>
              <w:t>(1,396)</w:t>
            </w:r>
          </w:p>
        </w:tc>
        <w:tc>
          <w:tcPr>
            <w:tcW w:w="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41.15</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0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Exercised</w:t>
            </w:r>
          </w:p>
        </w:tc>
        <w:tc>
          <w:tcPr>
            <w:tcW w:w="1520" w:type="dxa"/>
            <w:vAlign w:val="bottom"/>
            <w:gridSpan w:val="2"/>
            <w:shd w:val="clear" w:color="auto" w:fill="CCEEFF"/>
          </w:tcPr>
          <w:p>
            <w:pPr>
              <w:jc w:val="right"/>
              <w:ind w:right="180"/>
              <w:spacing w:after="0" w:line="229" w:lineRule="exact"/>
              <w:rPr>
                <w:sz w:val="20"/>
                <w:szCs w:val="20"/>
                <w:color w:val="auto"/>
              </w:rPr>
            </w:pPr>
            <w:r>
              <w:rPr>
                <w:rFonts w:ascii="Times New Roman" w:cs="Times New Roman" w:eastAsia="Times New Roman" w:hAnsi="Times New Roman"/>
                <w:sz w:val="22"/>
                <w:szCs w:val="22"/>
                <w:color w:val="auto"/>
              </w:rPr>
              <w:t>(14,408)</w:t>
            </w:r>
          </w:p>
        </w:tc>
        <w:tc>
          <w:tcPr>
            <w:tcW w:w="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35.33</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50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Outstanding at end of period</w:t>
            </w:r>
          </w:p>
        </w:tc>
        <w:tc>
          <w:tcPr>
            <w:tcW w:w="13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1,082,216</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36.61</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5.2</w:t>
            </w:r>
          </w:p>
        </w:tc>
        <w:tc>
          <w:tcPr>
            <w:tcW w:w="440" w:type="dxa"/>
            <w:vAlign w:val="bottom"/>
            <w:tcBorders>
              <w:bottom w:val="single" w:sz="8" w:color="auto"/>
            </w:tcBorders>
            <w:gridSpan w:val="2"/>
          </w:tcPr>
          <w:p>
            <w:pPr>
              <w:jc w:val="right"/>
              <w:ind w:right="16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4,283</w:t>
            </w:r>
          </w:p>
        </w:tc>
      </w:tr>
      <w:tr>
        <w:trPr>
          <w:trHeight w:val="20"/>
        </w:trPr>
        <w:tc>
          <w:tcPr>
            <w:tcW w:w="5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5020" w:type="dxa"/>
            <w:vAlign w:val="bottom"/>
            <w:tcBorders>
              <w:bottom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Exercisable at end of period</w:t>
            </w:r>
          </w:p>
        </w:tc>
        <w:tc>
          <w:tcPr>
            <w:tcW w:w="13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797,009</w:t>
            </w: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36.76</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3.9</w:t>
            </w:r>
          </w:p>
        </w:tc>
        <w:tc>
          <w:tcPr>
            <w:tcW w:w="440" w:type="dxa"/>
            <w:vAlign w:val="bottom"/>
            <w:tcBorders>
              <w:bottom w:val="single" w:sz="8" w:color="auto"/>
            </w:tcBorders>
            <w:gridSpan w:val="2"/>
            <w:shd w:val="clear" w:color="auto" w:fill="CCEEFF"/>
          </w:tcPr>
          <w:p>
            <w:pPr>
              <w:jc w:val="right"/>
              <w:ind w:right="16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3,109</w:t>
            </w:r>
          </w:p>
        </w:tc>
      </w:tr>
      <w:tr>
        <w:trPr>
          <w:trHeight w:val="20"/>
        </w:trPr>
        <w:tc>
          <w:tcPr>
            <w:tcW w:w="5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 </w:t>
      </w:r>
      <w:r>
        <w:rPr>
          <w:rFonts w:ascii="Times New Roman" w:cs="Times New Roman" w:eastAsia="Times New Roman" w:hAnsi="Times New Roman"/>
          <w:sz w:val="22"/>
          <w:szCs w:val="22"/>
          <w:color w:val="auto"/>
        </w:rPr>
        <w:t>Restricted stock awards provide the grantee with the rights of a shareholder, including the right to receive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dividends and to vote such shares, but not the right to sell or otherwise transfer the shares during the restriction period, which is one year from the date of issuance of the award. Nonvested shares of restricted stock were 1,268 as of September 30, 2025 and December 31, 2024. There were no restricted stock awards granted and vested during the nine months ended September 30, 2025 and 2024. The following table provides the compensation cost and income tax benefit for stock-based compensation related to restricted stock:</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40" w:type="dxa"/>
            <w:vAlign w:val="bottom"/>
            <w:gridSpan w:val="5"/>
          </w:tcPr>
          <w:p>
            <w:pPr>
              <w:jc w:val="center"/>
              <w:ind w:right="58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300" w:type="dxa"/>
            <w:vAlign w:val="bottom"/>
          </w:tcPr>
          <w:p>
            <w:pPr>
              <w:spacing w:after="0"/>
              <w:rPr>
                <w:sz w:val="21"/>
                <w:szCs w:val="21"/>
                <w:color w:val="auto"/>
              </w:rPr>
            </w:pPr>
          </w:p>
        </w:tc>
        <w:tc>
          <w:tcPr>
            <w:tcW w:w="2720" w:type="dxa"/>
            <w:vAlign w:val="bottom"/>
            <w:gridSpan w:val="5"/>
          </w:tcPr>
          <w:p>
            <w:pPr>
              <w:jc w:val="right"/>
              <w:ind w:right="53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4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40" w:type="dxa"/>
            <w:vAlign w:val="bottom"/>
            <w:gridSpan w:val="5"/>
          </w:tcPr>
          <w:p>
            <w:pPr>
              <w:jc w:val="center"/>
              <w:ind w:right="580"/>
              <w:spacing w:after="0"/>
              <w:rPr>
                <w:sz w:val="20"/>
                <w:szCs w:val="20"/>
                <w:color w:val="auto"/>
              </w:rPr>
            </w:pPr>
            <w:r>
              <w:rPr>
                <w:rFonts w:ascii="Times New Roman" w:cs="Times New Roman" w:eastAsia="Times New Roman" w:hAnsi="Times New Roman"/>
                <w:sz w:val="22"/>
                <w:szCs w:val="22"/>
                <w:color w:val="auto"/>
                <w:w w:val="99"/>
              </w:rPr>
              <w:t>September 30,</w:t>
            </w:r>
          </w:p>
        </w:tc>
        <w:tc>
          <w:tcPr>
            <w:tcW w:w="300" w:type="dxa"/>
            <w:vAlign w:val="bottom"/>
          </w:tcPr>
          <w:p>
            <w:pPr>
              <w:spacing w:after="0"/>
              <w:rPr>
                <w:sz w:val="22"/>
                <w:szCs w:val="22"/>
                <w:color w:val="auto"/>
              </w:rPr>
            </w:pPr>
          </w:p>
        </w:tc>
        <w:tc>
          <w:tcPr>
            <w:tcW w:w="2720" w:type="dxa"/>
            <w:vAlign w:val="bottom"/>
            <w:gridSpan w:val="5"/>
          </w:tcPr>
          <w:p>
            <w:pPr>
              <w:jc w:val="right"/>
              <w:ind w:right="772"/>
              <w:spacing w:after="0"/>
              <w:rPr>
                <w:sz w:val="20"/>
                <w:szCs w:val="20"/>
                <w:color w:val="auto"/>
              </w:rPr>
            </w:pPr>
            <w:r>
              <w:rPr>
                <w:rFonts w:ascii="Times New Roman" w:cs="Times New Roman" w:eastAsia="Times New Roman" w:hAnsi="Times New Roman"/>
                <w:sz w:val="22"/>
                <w:szCs w:val="22"/>
                <w:color w:val="auto"/>
              </w:rPr>
              <w:t>September 30,</w:t>
            </w:r>
          </w:p>
        </w:tc>
      </w:tr>
      <w:tr>
        <w:trPr>
          <w:trHeight w:val="223"/>
        </w:trPr>
        <w:tc>
          <w:tcPr>
            <w:tcW w:w="48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2"/>
              <w:spacing w:after="0" w:line="223" w:lineRule="exact"/>
              <w:rPr>
                <w:sz w:val="20"/>
                <w:szCs w:val="20"/>
                <w:color w:val="auto"/>
              </w:rPr>
            </w:pPr>
            <w:r>
              <w:rPr>
                <w:rFonts w:ascii="Times New Roman" w:cs="Times New Roman" w:eastAsia="Times New Roman" w:hAnsi="Times New Roman"/>
                <w:sz w:val="22"/>
                <w:szCs w:val="22"/>
                <w:color w:val="auto"/>
              </w:rPr>
              <w:t>2024</w:t>
            </w:r>
          </w:p>
        </w:tc>
      </w:tr>
      <w:tr>
        <w:trPr>
          <w:trHeight w:val="182"/>
        </w:trPr>
        <w:tc>
          <w:tcPr>
            <w:tcW w:w="48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7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13</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w w:val="72"/>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2"/>
                <w:szCs w:val="22"/>
                <w:color w:val="auto"/>
              </w:rPr>
              <w:t>37</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82"/>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4</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72"/>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32"/>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6"/>
        </w:trPr>
        <w:tc>
          <w:tcPr>
            <w:tcW w:w="4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11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Awards </w:t>
      </w:r>
      <w:r>
        <w:rPr>
          <w:rFonts w:ascii="Times New Roman" w:cs="Times New Roman" w:eastAsia="Times New Roman" w:hAnsi="Times New Roman"/>
          <w:sz w:val="22"/>
          <w:szCs w:val="22"/>
          <w:color w:val="auto"/>
        </w:rPr>
        <w:t>– Stock awards represent the issuance of the Company’s common stock, without restriction. The issuance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60" w:type="dxa"/>
            <w:vAlign w:val="bottom"/>
            <w:gridSpan w:val="4"/>
          </w:tcPr>
          <w:p>
            <w:pPr>
              <w:jc w:val="right"/>
              <w:ind w:right="452"/>
              <w:spacing w:after="0"/>
              <w:rPr>
                <w:sz w:val="20"/>
                <w:szCs w:val="20"/>
                <w:color w:val="auto"/>
              </w:rPr>
            </w:pPr>
            <w:r>
              <w:rPr>
                <w:rFonts w:ascii="Times New Roman" w:cs="Times New Roman" w:eastAsia="Times New Roman" w:hAnsi="Times New Roman"/>
                <w:sz w:val="22"/>
                <w:szCs w:val="22"/>
                <w:color w:val="auto"/>
              </w:rPr>
              <w:t>Three Months Ended</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60" w:type="dxa"/>
            <w:vAlign w:val="bottom"/>
            <w:gridSpan w:val="4"/>
          </w:tcPr>
          <w:p>
            <w:pPr>
              <w:jc w:val="right"/>
              <w:ind w:right="73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4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22"/>
                <w:szCs w:val="22"/>
                <w:color w:val="auto"/>
              </w:rPr>
              <w:t>September 30,</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040" w:type="dxa"/>
            <w:vAlign w:val="bottom"/>
            <w:tcBorders>
              <w:bottom w:val="single" w:sz="8" w:color="auto"/>
            </w:tcBorders>
          </w:tcPr>
          <w:p>
            <w:pPr>
              <w:spacing w:after="0"/>
              <w:rPr>
                <w:sz w:val="22"/>
                <w:szCs w:val="22"/>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w w:val="99"/>
              </w:rPr>
              <w:t>2024</w:t>
            </w:r>
          </w:p>
        </w:tc>
      </w:tr>
      <w:tr>
        <w:trPr>
          <w:trHeight w:val="182"/>
        </w:trPr>
        <w:tc>
          <w:tcPr>
            <w:tcW w:w="44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7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810</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810</w:t>
            </w: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840</w:t>
            </w:r>
          </w:p>
        </w:tc>
      </w:tr>
      <w:tr>
        <w:trPr>
          <w:trHeight w:val="282"/>
        </w:trPr>
        <w:tc>
          <w:tcPr>
            <w:tcW w:w="44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221</w:t>
            </w:r>
          </w:p>
        </w:tc>
        <w:tc>
          <w:tcPr>
            <w:tcW w:w="24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221</w:t>
            </w:r>
          </w:p>
        </w:tc>
        <w:tc>
          <w:tcPr>
            <w:tcW w:w="200" w:type="dxa"/>
            <w:vAlign w:val="bottom"/>
          </w:tcPr>
          <w:p>
            <w:pPr>
              <w:spacing w:after="0"/>
              <w:rPr>
                <w:sz w:val="24"/>
                <w:szCs w:val="24"/>
                <w:color w:val="auto"/>
              </w:rPr>
            </w:pPr>
          </w:p>
        </w:tc>
        <w:tc>
          <w:tcPr>
            <w:tcW w:w="5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award transactions for the nine months ended September 30,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Number</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8"/>
              </w:rPr>
              <w:t>Weighted</w:t>
            </w:r>
          </w:p>
        </w:tc>
      </w:tr>
      <w:tr>
        <w:trPr>
          <w:trHeight w:val="229"/>
        </w:trPr>
        <w:tc>
          <w:tcPr>
            <w:tcW w:w="7140" w:type="dxa"/>
            <w:vAlign w:val="bottom"/>
          </w:tcPr>
          <w:p>
            <w:pPr>
              <w:spacing w:after="0"/>
              <w:rPr>
                <w:sz w:val="19"/>
                <w:szCs w:val="19"/>
                <w:color w:val="auto"/>
              </w:rPr>
            </w:pPr>
          </w:p>
        </w:tc>
        <w:tc>
          <w:tcPr>
            <w:tcW w:w="182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center"/>
              <w:ind w:right="23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r>
      <w:tr>
        <w:trPr>
          <w:trHeight w:val="257"/>
        </w:trPr>
        <w:tc>
          <w:tcPr>
            <w:tcW w:w="714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Stock Awards</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22"/>
                <w:szCs w:val="22"/>
                <w:color w:val="auto"/>
                <w:w w:val="94"/>
              </w:rPr>
              <w:t>Fair Value</w:t>
            </w:r>
          </w:p>
        </w:tc>
      </w:tr>
      <w:tr>
        <w:trPr>
          <w:trHeight w:val="223"/>
        </w:trPr>
        <w:tc>
          <w:tcPr>
            <w:tcW w:w="7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awards at beginning of period</w:t>
            </w:r>
          </w:p>
        </w:tc>
        <w:tc>
          <w:tcPr>
            <w:tcW w:w="18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29"/>
        </w:trPr>
        <w:tc>
          <w:tcPr>
            <w:tcW w:w="7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8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21,648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37.42</w:t>
            </w:r>
          </w:p>
        </w:tc>
      </w:tr>
      <w:tr>
        <w:trPr>
          <w:trHeight w:val="230"/>
        </w:trPr>
        <w:tc>
          <w:tcPr>
            <w:tcW w:w="7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Vested</w:t>
            </w:r>
          </w:p>
        </w:tc>
        <w:tc>
          <w:tcPr>
            <w:tcW w:w="18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(21,648)</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37.42</w:t>
            </w:r>
          </w:p>
        </w:tc>
      </w:tr>
      <w:tr>
        <w:trPr>
          <w:trHeight w:val="223"/>
        </w:trPr>
        <w:tc>
          <w:tcPr>
            <w:tcW w:w="71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stock awards at end of period</w:t>
            </w:r>
          </w:p>
        </w:tc>
        <w:tc>
          <w:tcPr>
            <w:tcW w:w="1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gridSpan w:val="2"/>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rPr>
              <w:t>$</w:t>
            </w:r>
          </w:p>
        </w:tc>
        <w:tc>
          <w:tcPr>
            <w:tcW w:w="16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7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weighted-average fair value at the date of grant for stock awards granted during the nine months ended September 30, 2025 and 2024 was $37.42 and $36.82,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 </w:t>
      </w:r>
      <w:r>
        <w:rPr>
          <w:rFonts w:ascii="Times New Roman" w:cs="Times New Roman" w:eastAsia="Times New Roman" w:hAnsi="Times New Roman"/>
          <w:sz w:val="22"/>
          <w:szCs w:val="22"/>
          <w:b w:val="1"/>
          <w:bCs w:val="1"/>
          <w:i w:val="1"/>
          <w:iCs w:val="1"/>
          <w:color w:val="auto"/>
        </w:rPr>
        <w:t>Pension Plans and Other Postretirement Benefits</w:t>
      </w:r>
    </w:p>
    <w:p>
      <w:pPr>
        <w:spacing w:after="0" w:line="212"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The Company maintains a qualified defined benefit pension plan (the “Pension Plan”), a nonqualified pension plan, and other postretirement benefit plans for certain of its employees.</w:t>
      </w:r>
    </w:p>
    <w:p>
      <w:pPr>
        <w:spacing w:after="0" w:line="186"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22"/>
          <w:szCs w:val="22"/>
          <w:color w:val="auto"/>
        </w:rPr>
        <w:t>The following tables provide the components of net periodic benefit cost for the Company’s pension and other postretirement benefit plans: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6"/>
          </w:tcPr>
          <w:p>
            <w:pPr>
              <w:jc w:val="center"/>
              <w:ind w:right="520"/>
              <w:spacing w:after="0"/>
              <w:rPr>
                <w:sz w:val="20"/>
                <w:szCs w:val="20"/>
                <w:color w:val="auto"/>
              </w:rPr>
            </w:pPr>
            <w:r>
              <w:rPr>
                <w:rFonts w:ascii="Times New Roman" w:cs="Times New Roman" w:eastAsia="Times New Roman" w:hAnsi="Times New Roman"/>
                <w:sz w:val="22"/>
                <w:szCs w:val="22"/>
                <w:color w:val="auto"/>
                <w:w w:val="98"/>
              </w:rPr>
              <w:t>Pension Benefits</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6"/>
          </w:tcPr>
          <w:p>
            <w:pPr>
              <w:jc w:val="right"/>
              <w:ind w:right="760"/>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4"/>
          </w:tcPr>
          <w:p>
            <w:pPr>
              <w:jc w:val="right"/>
              <w:ind w:right="752"/>
              <w:spacing w:after="0" w:line="196" w:lineRule="exact"/>
              <w:rPr>
                <w:sz w:val="20"/>
                <w:szCs w:val="20"/>
                <w:color w:val="auto"/>
              </w:rPr>
            </w:pPr>
            <w:r>
              <w:rPr>
                <w:rFonts w:ascii="Times New Roman" w:cs="Times New Roman" w:eastAsia="Times New Roman" w:hAnsi="Times New Roman"/>
                <w:sz w:val="22"/>
                <w:szCs w:val="22"/>
                <w:color w:val="auto"/>
              </w:rPr>
              <w:t>Nine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8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0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w w:val="95"/>
              </w:rPr>
              <w:t>2024</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w w:val="99"/>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320" w:type="dxa"/>
            <w:vAlign w:val="bottom"/>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912</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3,991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3,908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11,973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(4,266)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line="229" w:lineRule="exact"/>
              <w:rPr>
                <w:sz w:val="20"/>
                <w:szCs w:val="20"/>
                <w:color w:val="auto"/>
              </w:rPr>
            </w:pPr>
            <w:r>
              <w:rPr>
                <w:rFonts w:ascii="Times New Roman" w:cs="Times New Roman" w:eastAsia="Times New Roman" w:hAnsi="Times New Roman"/>
                <w:sz w:val="22"/>
                <w:szCs w:val="22"/>
                <w:color w:val="auto"/>
              </w:rPr>
              <w:t>(4,696)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(12,798)</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(14,088)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234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loss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751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2,499</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w:t>
            </w:r>
          </w:p>
        </w:tc>
        <w:tc>
          <w:tcPr>
            <w:tcW w:w="320" w:type="dxa"/>
            <w:vAlign w:val="bottom"/>
            <w:tcBorders>
              <w:bottom w:val="single" w:sz="8" w:color="auto"/>
            </w:tcBorders>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940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jc w:val="center"/>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2,820</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w:t>
            </w:r>
          </w:p>
        </w:tc>
        <w:tc>
          <w:tcPr>
            <w:tcW w:w="1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Other</w:t>
            </w: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4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22"/>
                <w:szCs w:val="22"/>
                <w:color w:val="auto"/>
                <w:w w:val="97"/>
              </w:rPr>
              <w:t>Postretirement Benefits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4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6"/>
          </w:tcPr>
          <w:p>
            <w:pPr>
              <w:jc w:val="right"/>
              <w:ind w:right="540"/>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4"/>
          </w:tcPr>
          <w:p>
            <w:pPr>
              <w:jc w:val="center"/>
              <w:ind w:right="112"/>
              <w:spacing w:after="0" w:line="196" w:lineRule="exact"/>
              <w:rPr>
                <w:sz w:val="20"/>
                <w:szCs w:val="20"/>
                <w:color w:val="auto"/>
              </w:rPr>
            </w:pPr>
            <w:r>
              <w:rPr>
                <w:rFonts w:ascii="Times New Roman" w:cs="Times New Roman" w:eastAsia="Times New Roman" w:hAnsi="Times New Roman"/>
                <w:sz w:val="22"/>
                <w:szCs w:val="22"/>
                <w:color w:val="auto"/>
                <w:w w:val="98"/>
              </w:rPr>
              <w:t>Nine Months Ended</w:t>
            </w:r>
          </w:p>
        </w:tc>
        <w:tc>
          <w:tcPr>
            <w:tcW w:w="20" w:type="dxa"/>
            <w:vAlign w:val="bottom"/>
          </w:tcPr>
          <w:p>
            <w:pPr>
              <w:spacing w:after="0"/>
              <w:rPr>
                <w:sz w:val="17"/>
                <w:szCs w:val="17"/>
                <w:color w:val="auto"/>
              </w:rPr>
            </w:pPr>
          </w:p>
        </w:tc>
      </w:tr>
      <w:tr>
        <w:trPr>
          <w:trHeight w:val="257"/>
        </w:trPr>
        <w:tc>
          <w:tcPr>
            <w:tcW w:w="4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60" w:type="dxa"/>
            <w:vAlign w:val="bottom"/>
            <w:gridSpan w:val="6"/>
          </w:tcPr>
          <w:p>
            <w:pPr>
              <w:jc w:val="right"/>
              <w:ind w:right="820"/>
              <w:spacing w:after="0"/>
              <w:rPr>
                <w:sz w:val="20"/>
                <w:szCs w:val="20"/>
                <w:color w:val="auto"/>
              </w:rPr>
            </w:pPr>
            <w:r>
              <w:rPr>
                <w:rFonts w:ascii="Times New Roman" w:cs="Times New Roman" w:eastAsia="Times New Roman" w:hAnsi="Times New Roman"/>
                <w:sz w:val="22"/>
                <w:szCs w:val="22"/>
                <w:color w:val="auto"/>
              </w:rPr>
              <w:t>September 30,</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20" w:type="dxa"/>
            <w:vAlign w:val="bottom"/>
            <w:gridSpan w:val="5"/>
          </w:tcPr>
          <w:p>
            <w:pPr>
              <w:jc w:val="center"/>
              <w:ind w:right="260"/>
              <w:spacing w:after="0"/>
              <w:rPr>
                <w:sz w:val="20"/>
                <w:szCs w:val="20"/>
                <w:color w:val="auto"/>
              </w:rPr>
            </w:pPr>
            <w:r>
              <w:rPr>
                <w:rFonts w:ascii="Times New Roman" w:cs="Times New Roman" w:eastAsia="Times New Roman" w:hAnsi="Times New Roman"/>
                <w:sz w:val="22"/>
                <w:szCs w:val="22"/>
                <w:color w:val="auto"/>
                <w:w w:val="97"/>
              </w:rPr>
              <w:t>September 30,</w:t>
            </w:r>
          </w:p>
        </w:tc>
      </w:tr>
      <w:tr>
        <w:trPr>
          <w:trHeight w:val="223"/>
        </w:trPr>
        <w:tc>
          <w:tcPr>
            <w:tcW w:w="44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 w:type="dxa"/>
            <w:vAlign w:val="bottom"/>
          </w:tcPr>
          <w:p>
            <w:pPr>
              <w:spacing w:after="0"/>
              <w:rPr>
                <w:sz w:val="19"/>
                <w:szCs w:val="19"/>
                <w:color w:val="auto"/>
              </w:rPr>
            </w:pPr>
          </w:p>
        </w:tc>
      </w:tr>
      <w:tr>
        <w:trPr>
          <w:trHeight w:val="223"/>
        </w:trPr>
        <w:tc>
          <w:tcPr>
            <w:tcW w:w="44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320" w:type="dxa"/>
            <w:vAlign w:val="bottom"/>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363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1,116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1,089</w:t>
            </w:r>
          </w:p>
        </w:tc>
        <w:tc>
          <w:tcPr>
            <w:tcW w:w="20" w:type="dxa"/>
            <w:vAlign w:val="bottom"/>
          </w:tcPr>
          <w:p>
            <w:pPr>
              <w:spacing w:after="0"/>
              <w:rPr>
                <w:sz w:val="19"/>
                <w:szCs w:val="19"/>
                <w:color w:val="auto"/>
              </w:rPr>
            </w:pPr>
          </w:p>
        </w:tc>
      </w:tr>
      <w:tr>
        <w:trPr>
          <w:trHeight w:val="229"/>
        </w:trPr>
        <w:tc>
          <w:tcPr>
            <w:tcW w:w="446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1,113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3,396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3,337</w:t>
            </w:r>
          </w:p>
        </w:tc>
        <w:tc>
          <w:tcPr>
            <w:tcW w:w="20" w:type="dxa"/>
            <w:vAlign w:val="bottom"/>
          </w:tcPr>
          <w:p>
            <w:pPr>
              <w:spacing w:after="0"/>
              <w:rPr>
                <w:sz w:val="19"/>
                <w:szCs w:val="19"/>
                <w:color w:val="auto"/>
              </w:rPr>
            </w:pPr>
          </w:p>
        </w:tc>
      </w:tr>
      <w:tr>
        <w:trPr>
          <w:trHeight w:val="230"/>
        </w:trPr>
        <w:tc>
          <w:tcPr>
            <w:tcW w:w="44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(1,071)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line="229" w:lineRule="exact"/>
              <w:rPr>
                <w:sz w:val="20"/>
                <w:szCs w:val="20"/>
                <w:color w:val="auto"/>
              </w:rPr>
            </w:pPr>
            <w:r>
              <w:rPr>
                <w:rFonts w:ascii="Times New Roman" w:cs="Times New Roman" w:eastAsia="Times New Roman" w:hAnsi="Times New Roman"/>
                <w:sz w:val="22"/>
                <w:szCs w:val="22"/>
                <w:color w:val="auto"/>
              </w:rPr>
              <w:t>(1,105)</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(3,213)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(3,315)</w:t>
            </w:r>
          </w:p>
        </w:tc>
        <w:tc>
          <w:tcPr>
            <w:tcW w:w="20" w:type="dxa"/>
            <w:vAlign w:val="bottom"/>
          </w:tcPr>
          <w:p>
            <w:pPr>
              <w:spacing w:after="0"/>
              <w:rPr>
                <w:sz w:val="19"/>
                <w:szCs w:val="19"/>
                <w:color w:val="auto"/>
              </w:rPr>
            </w:pPr>
          </w:p>
        </w:tc>
      </w:tr>
      <w:tr>
        <w:trPr>
          <w:trHeight w:val="229"/>
        </w:trPr>
        <w:tc>
          <w:tcPr>
            <w:tcW w:w="446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gain</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(401)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9" w:lineRule="exact"/>
              <w:rPr>
                <w:sz w:val="20"/>
                <w:szCs w:val="20"/>
                <w:color w:val="auto"/>
              </w:rPr>
            </w:pPr>
            <w:r>
              <w:rPr>
                <w:rFonts w:ascii="Times New Roman" w:cs="Times New Roman" w:eastAsia="Times New Roman" w:hAnsi="Times New Roman"/>
                <w:sz w:val="22"/>
                <w:szCs w:val="22"/>
                <w:color w:val="auto"/>
              </w:rPr>
              <w:t>(267)</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(1,203)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(801)</w:t>
            </w:r>
          </w:p>
        </w:tc>
        <w:tc>
          <w:tcPr>
            <w:tcW w:w="20" w:type="dxa"/>
            <w:vAlign w:val="bottom"/>
          </w:tcPr>
          <w:p>
            <w:pPr>
              <w:spacing w:after="0"/>
              <w:rPr>
                <w:sz w:val="19"/>
                <w:szCs w:val="19"/>
                <w:color w:val="auto"/>
              </w:rPr>
            </w:pPr>
          </w:p>
        </w:tc>
      </w:tr>
      <w:tr>
        <w:trPr>
          <w:trHeight w:val="223"/>
        </w:trPr>
        <w:tc>
          <w:tcPr>
            <w:tcW w:w="446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w:t>
            </w:r>
          </w:p>
        </w:tc>
        <w:tc>
          <w:tcPr>
            <w:tcW w:w="320" w:type="dxa"/>
            <w:vAlign w:val="bottom"/>
            <w:tcBorders>
              <w:top w:val="single" w:sz="8" w:color="auto"/>
              <w:bottom w:val="single" w:sz="8" w:color="auto"/>
            </w:tcBorders>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center"/>
              <w:ind w:right="2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310</w:t>
            </w:r>
          </w:p>
        </w:tc>
        <w:tc>
          <w:tcPr>
            <w:tcW w:w="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2"/>
          <w:szCs w:val="22"/>
          <w:color w:val="auto"/>
        </w:rPr>
        <w:t>The net periodic benefit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other than service cost in the condensed consolidated statements of operations and comprehensive income on the line item “Other”.</w:t>
      </w:r>
    </w:p>
    <w:p>
      <w:pPr>
        <w:spacing w:after="0" w:line="191" w:lineRule="exact"/>
        <w:rPr>
          <w:sz w:val="20"/>
          <w:szCs w:val="20"/>
          <w:color w:val="auto"/>
        </w:rPr>
      </w:pPr>
    </w:p>
    <w:p>
      <w:pPr>
        <w:ind w:right="500"/>
        <w:spacing w:after="0" w:line="245" w:lineRule="auto"/>
        <w:rPr>
          <w:sz w:val="20"/>
          <w:szCs w:val="20"/>
          <w:color w:val="auto"/>
        </w:rPr>
      </w:pPr>
      <w:r>
        <w:rPr>
          <w:rFonts w:ascii="Times New Roman" w:cs="Times New Roman" w:eastAsia="Times New Roman" w:hAnsi="Times New Roman"/>
          <w:sz w:val="22"/>
          <w:szCs w:val="22"/>
          <w:color w:val="auto"/>
        </w:rPr>
        <w:t>The Company made a cash contribution of $3,945 to the Pension Plan during the third quarter of 2025, which completed the Company’s expected cash contributions for the year.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 </w:t>
      </w:r>
      <w:r>
        <w:rPr>
          <w:rFonts w:ascii="Times New Roman" w:cs="Times New Roman" w:eastAsia="Times New Roman" w:hAnsi="Times New Roman"/>
          <w:sz w:val="22"/>
          <w:szCs w:val="22"/>
          <w:b w:val="1"/>
          <w:bCs w:val="1"/>
          <w:i w:val="1"/>
          <w:iCs w:val="1"/>
          <w:color w:val="auto"/>
        </w:rPr>
        <w:t>Rate Activity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Completed Rate Case Proceedings</w:t>
      </w:r>
    </w:p>
    <w:p>
      <w:pPr>
        <w:spacing w:after="0" w:line="224" w:lineRule="exact"/>
        <w:rPr>
          <w:sz w:val="20"/>
          <w:szCs w:val="20"/>
          <w:color w:val="auto"/>
        </w:rPr>
      </w:pPr>
    </w:p>
    <w:p>
      <w:pPr>
        <w:jc w:val="both"/>
        <w:ind w:right="640"/>
        <w:spacing w:after="0" w:line="234" w:lineRule="auto"/>
        <w:rPr>
          <w:sz w:val="20"/>
          <w:szCs w:val="20"/>
          <w:color w:val="auto"/>
        </w:rPr>
      </w:pPr>
      <w:r>
        <w:rPr>
          <w:rFonts w:ascii="Times New Roman" w:cs="Times New Roman" w:eastAsia="Times New Roman" w:hAnsi="Times New Roman"/>
          <w:sz w:val="22"/>
          <w:szCs w:val="22"/>
          <w:color w:val="auto"/>
        </w:rPr>
        <w:t>On July 1, 2025, the Company’s natural gas operating subsidiary in Kentucky received an order from the Kentucky Public Service Commission approving the settlement agreement that allowed base rate increases designed to increase total annual operating revenue by $7,700 or 11.2%. New rates went into effect on July 1, 2025.</w:t>
      </w:r>
    </w:p>
    <w:p>
      <w:pPr>
        <w:spacing w:after="0" w:line="192"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On February 7, 2025, the Pennsylvania Public Utility Commission (“PAPUC”) issued an order approving, with certain minor modifications, the joint petition for non-unanimous partial settlement filed by Aqua Pennsylvania, Office of Consumer Advocate, and other groups, that allowed a base rate increase designed to increase total annual operating revenues by $73,000. New rates went into effect on February 22, 2025. At the time the rate order was received, the rates in effect also included $37,940 in Distribution System Improvement Charges (“DSIC”), which was 6.73% above prior base rates. Consequently, the aggregate annual base rates increased by $110,940 since the last base rate increase and DSIC was reset to zero.</w:t>
      </w:r>
    </w:p>
    <w:p>
      <w:pPr>
        <w:spacing w:after="0" w:line="192"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22"/>
          <w:szCs w:val="22"/>
          <w:color w:val="auto"/>
        </w:rPr>
        <w:t>During the nine months ended September 30, 2025, three of the Company’s water and wastewater utility operating divisions in Ohio and its water and wastewater utility operating divisions in North Carolina implemented approved base rate increases designed to increase total operating revenues on an annual basis by $6,371. Further, during the nine months ended September 30, 2025, the Company implemented infrastructure rehabilitation surcharges designed to increase total operating revenues on an annual basis by $10,808 in its water and wastewater utility operating divisions in Pennsylvania and Ohio, by $2,468</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its water utility operating division in New Jersey, and by $542 in its natural gas operating division in Kentucky.</w:t>
      </w:r>
    </w:p>
    <w:p>
      <w:pPr>
        <w:spacing w:after="0" w:line="2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On November 21, 2024, Aqua Illinois received an order from the Illinois Commerce Commission designed to provide an increase in revenues of $11,632 or 11.4% on an annual basis. New rates went into effect on December 5, 2024.</w:t>
      </w:r>
    </w:p>
    <w:p>
      <w:pPr>
        <w:spacing w:after="0" w:line="186" w:lineRule="exact"/>
        <w:rPr>
          <w:sz w:val="20"/>
          <w:szCs w:val="20"/>
          <w:color w:val="auto"/>
        </w:rPr>
      </w:pPr>
    </w:p>
    <w:p>
      <w:pPr>
        <w:jc w:val="both"/>
        <w:ind w:right="480"/>
        <w:spacing w:after="0" w:line="233" w:lineRule="auto"/>
        <w:rPr>
          <w:sz w:val="20"/>
          <w:szCs w:val="20"/>
          <w:color w:val="auto"/>
        </w:rPr>
      </w:pPr>
      <w:r>
        <w:rPr>
          <w:rFonts w:ascii="Times New Roman" w:cs="Times New Roman" w:eastAsia="Times New Roman" w:hAnsi="Times New Roman"/>
          <w:sz w:val="22"/>
          <w:szCs w:val="22"/>
          <w:color w:val="auto"/>
        </w:rPr>
        <w:t>On October 9, 2024, Aqua New Jersey received an order from the New Jersey Board of Public Utilities that was designed to provide an increase in water rates of $2,250 on an annual basis. The order also approved the recovery of customer-side lead service line replacement costs of $11,535, that have been deferred from April 2021 through June 2024, through the use of a customer surcharge over a three-year period. New rates went into effect on October 15, 2024.</w:t>
      </w:r>
    </w:p>
    <w:p>
      <w:pPr>
        <w:spacing w:after="0" w:line="17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On September 12, 2024, the PAPUC issued an order approving the settlement agreement to the general rate case filed by the Company’s regulated natural gas operating subsidiary, Peoples Natural Gas, that allowed base rate increases designed to increase total annual operating revenues by $93,000 or 11.1%. At the time the rate order was received, the rates in effect included various surcharges and credits, such as the DSIC and Tax Cuts and Jobs Act (“TCJA”) amortization credits totaling approximately $21,000 on an annual basis. The order also provided an annualized change in gathering and other operating revenues of approximately $3,000. Consequently, the aggregate annual base rates increased approximately $111,000 as the DSIC was reset to zero, and the TCJA amortization credit, other surcharges and other operating revenues were adjusted. New rates went into effect on September 27, 2024. The order also approved the implementation of a weather normalization adjustment mechanism (WNA), which is applied to customer bills during the heating season of October through May each year. The weather normalization adjustment mechanism is designed to stabilize our residential and commercial customers’ distribution charges by adjusting billings based on temperature variances from average weather, which effectively decreases rates when the weather is colder than average, and increases rates when the weather is warmer than average. The Company expects the weather normalization adjustment mechanism to result in reduced earnings volatility during the heating season. On October 11, 2024, the Pennsylvania Office of Consumer Advocate appealed this rate case to the Commonwealth Court. On February 12, 2025, the Pennsylvania Office of Consumer Advocate discontinued its appeal on all but one non-revenue matter which can potentially be resolved through settlement.</w:t>
      </w:r>
    </w:p>
    <w:p>
      <w:pPr>
        <w:spacing w:after="0" w:line="19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On September 12, 2024, the Company’s regulated water and wastewater operating subsidiary in Virginia, Aqua Virginia, received an order from the State Corporation Commission approving an increase in revenues by $5,490 or 23.8% on an annual basis. The Company implemented interim rates in February 2024 and refunded to customers the difference between interim and final approved rates in December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Pending Base Rate Cases</w:t>
      </w:r>
    </w:p>
    <w:p>
      <w:pPr>
        <w:spacing w:after="0" w:line="224" w:lineRule="exact"/>
        <w:rPr>
          <w:sz w:val="20"/>
          <w:szCs w:val="20"/>
          <w:color w:val="auto"/>
        </w:rPr>
      </w:pPr>
    </w:p>
    <w:p>
      <w:pPr>
        <w:ind w:right="640"/>
        <w:spacing w:after="0" w:line="245" w:lineRule="auto"/>
        <w:rPr>
          <w:sz w:val="20"/>
          <w:szCs w:val="20"/>
          <w:color w:val="auto"/>
        </w:rPr>
      </w:pPr>
      <w:r>
        <w:rPr>
          <w:rFonts w:ascii="Times New Roman" w:cs="Times New Roman" w:eastAsia="Times New Roman" w:hAnsi="Times New Roman"/>
          <w:sz w:val="22"/>
          <w:szCs w:val="22"/>
          <w:color w:val="auto"/>
        </w:rPr>
        <w:t>On July 30, 2025, the Company’s regulated water and wastewater operating subsidiary in Virginia, Aqua Virginia, filed an application with the State Corporation Commission designed to increase revenues by $7,927 annually.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21"/>
          <w:szCs w:val="21"/>
          <w:color w:val="auto"/>
        </w:rPr>
        <w:t>On June 30, 2025, the Company’s regulated water and wastewater operating subsidiaries in Ohio, Aqua Ohio and Aqua Ohio Wastewater, filed applications with the Public Utilities Commission of Ohio designed to increase rates in total by $14,653.</w:t>
      </w:r>
    </w:p>
    <w:p>
      <w:pPr>
        <w:spacing w:after="0" w:line="16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On June 20, 2025, the Company’s regulated water and wastewater operating subsidiary in Texas, Aqua Texas, filed an application with the Public Utility Commission of Texas designed to increase rates by $29,149.</w:t>
      </w:r>
    </w:p>
    <w:p>
      <w:pPr>
        <w:spacing w:after="0" w:line="172"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On April 30, 2025, the Company’s regulated water and wastewater operating subsidiary in North Carolina, Aqua North Carolina, filed an application with the North Carolina Utilities Commission designed to increase rates by $32,847 in the first year of new rates being implemented, then an additional $5,915 and $6,000 in the second and third years,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 </w:t>
      </w:r>
      <w:r>
        <w:rPr>
          <w:rFonts w:ascii="Times New Roman" w:cs="Times New Roman" w:eastAsia="Times New Roman" w:hAnsi="Times New Roman"/>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the components of taxes other than income taxes: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gridSpan w:val="5"/>
          </w:tcPr>
          <w:p>
            <w:pPr>
              <w:jc w:val="center"/>
              <w:ind w:right="54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360" w:type="dxa"/>
            <w:vAlign w:val="bottom"/>
          </w:tcPr>
          <w:p>
            <w:pPr>
              <w:spacing w:after="0"/>
              <w:rPr>
                <w:sz w:val="22"/>
                <w:szCs w:val="22"/>
                <w:color w:val="auto"/>
              </w:rPr>
            </w:pPr>
          </w:p>
        </w:tc>
        <w:tc>
          <w:tcPr>
            <w:tcW w:w="3100" w:type="dxa"/>
            <w:vAlign w:val="bottom"/>
            <w:gridSpan w:val="4"/>
          </w:tcPr>
          <w:p>
            <w:pPr>
              <w:jc w:val="right"/>
              <w:ind w:right="75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4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gridSpan w:val="5"/>
          </w:tcPr>
          <w:p>
            <w:pPr>
              <w:jc w:val="center"/>
              <w:ind w:right="520"/>
              <w:spacing w:after="0"/>
              <w:rPr>
                <w:sz w:val="20"/>
                <w:szCs w:val="20"/>
                <w:color w:val="auto"/>
              </w:rPr>
            </w:pPr>
            <w:r>
              <w:rPr>
                <w:rFonts w:ascii="Times New Roman" w:cs="Times New Roman" w:eastAsia="Times New Roman" w:hAnsi="Times New Roman"/>
                <w:sz w:val="22"/>
                <w:szCs w:val="22"/>
                <w:color w:val="auto"/>
                <w:w w:val="97"/>
              </w:rPr>
              <w:t>September 30,</w:t>
            </w:r>
          </w:p>
        </w:tc>
        <w:tc>
          <w:tcPr>
            <w:tcW w:w="360" w:type="dxa"/>
            <w:vAlign w:val="bottom"/>
          </w:tcPr>
          <w:p>
            <w:pPr>
              <w:spacing w:after="0"/>
              <w:rPr>
                <w:sz w:val="22"/>
                <w:szCs w:val="22"/>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060" w:type="dxa"/>
            <w:vAlign w:val="bottom"/>
          </w:tcPr>
          <w:p>
            <w:pPr>
              <w:spacing w:after="0"/>
              <w:rPr>
                <w:sz w:val="22"/>
                <w:szCs w:val="22"/>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w w:val="99"/>
              </w:rPr>
              <w:t>2024</w:t>
            </w:r>
          </w:p>
        </w:tc>
      </w:tr>
      <w:tr>
        <w:trPr>
          <w:trHeight w:val="223"/>
        </w:trPr>
        <w:tc>
          <w:tcPr>
            <w:tcW w:w="44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Property</w:t>
            </w:r>
          </w:p>
        </w:tc>
        <w:tc>
          <w:tcPr>
            <w:tcW w:w="300" w:type="dxa"/>
            <w:vAlign w:val="bottom"/>
            <w:shd w:val="clear" w:color="auto" w:fill="CCEEFF"/>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9,430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9,099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27,584</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26,510</w:t>
            </w:r>
          </w:p>
        </w:tc>
      </w:tr>
      <w:tr>
        <w:trPr>
          <w:trHeight w:val="229"/>
        </w:trPr>
        <w:tc>
          <w:tcPr>
            <w:tcW w:w="44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Gross receipts, excise and franchise</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5,062</w:t>
            </w:r>
          </w:p>
        </w:tc>
        <w:tc>
          <w:tcPr>
            <w:tcW w:w="3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4,810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12,548</w:t>
            </w: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13,409</w:t>
            </w:r>
          </w:p>
        </w:tc>
      </w:tr>
      <w:tr>
        <w:trPr>
          <w:trHeight w:val="230"/>
        </w:trPr>
        <w:tc>
          <w:tcPr>
            <w:tcW w:w="44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Payroll</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5,369</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5,074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17,736</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17,594</w:t>
            </w:r>
          </w:p>
        </w:tc>
      </w:tr>
      <w:tr>
        <w:trPr>
          <w:trHeight w:val="229"/>
        </w:trPr>
        <w:tc>
          <w:tcPr>
            <w:tcW w:w="44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Regulatory assessments</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2,459</w:t>
            </w:r>
          </w:p>
        </w:tc>
        <w:tc>
          <w:tcPr>
            <w:tcW w:w="3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1,989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6,512</w:t>
            </w: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5,814</w:t>
            </w:r>
          </w:p>
        </w:tc>
      </w:tr>
      <w:tr>
        <w:trPr>
          <w:trHeight w:val="230"/>
        </w:trPr>
        <w:tc>
          <w:tcPr>
            <w:tcW w:w="44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Pumping fees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1,578</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2,148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4,882</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5,526</w:t>
            </w:r>
          </w:p>
        </w:tc>
      </w:tr>
      <w:tr>
        <w:trPr>
          <w:trHeight w:val="230"/>
        </w:trPr>
        <w:tc>
          <w:tcPr>
            <w:tcW w:w="44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642</w:t>
            </w:r>
          </w:p>
        </w:tc>
        <w:tc>
          <w:tcPr>
            <w:tcW w:w="3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982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(971)</w:t>
            </w: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2,506</w:t>
            </w:r>
          </w:p>
        </w:tc>
      </w:tr>
      <w:tr>
        <w:trPr>
          <w:trHeight w:val="223"/>
        </w:trPr>
        <w:tc>
          <w:tcPr>
            <w:tcW w:w="44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taxes other than income</w:t>
            </w:r>
          </w:p>
        </w:tc>
        <w:tc>
          <w:tcPr>
            <w:tcW w:w="300" w:type="dxa"/>
            <w:vAlign w:val="bottom"/>
            <w:tcBorders>
              <w:top w:val="single" w:sz="8" w:color="auto"/>
              <w:bottom w:val="single" w:sz="8" w:color="auto"/>
            </w:tcBorders>
            <w:shd w:val="clear" w:color="auto" w:fill="CCEEFF"/>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24,540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24,102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68,291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71,359</w:t>
            </w: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 </w:t>
      </w:r>
      <w:r>
        <w:rPr>
          <w:rFonts w:ascii="Times New Roman" w:cs="Times New Roman" w:eastAsia="Times New Roman" w:hAnsi="Times New Roman"/>
          <w:sz w:val="22"/>
          <w:szCs w:val="22"/>
          <w:b w:val="1"/>
          <w:bCs w:val="1"/>
          <w:i w:val="1"/>
          <w:iCs w:val="1"/>
          <w:color w:val="auto"/>
        </w:rPr>
        <w:t>Segment Information</w:t>
      </w:r>
    </w:p>
    <w:p>
      <w:pPr>
        <w:spacing w:after="0" w:line="10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The Company identifies a business as an operating segment if: i) it engages in business activities from which it may earn revenues and incur expenses; ii) its operating results are regularly reviewed by the chief operating decision maker (“CODM”), who is the Company’s Chief Executive Officer, to make decisions about resources to be allocated to the segment and assess its performance; and iii) it has available discrete financial information. The CODM reviews financial information, such as budget-to-actual variances and comparisons against prior period, at the operating segment level, and uses that information when making decisions about the allocation of operating and capital resources to each segment. The CODM evaluates the performance of the Company’s reportable segments based on a number of factors, the primary measure being the net income (loss) of each segment.</w:t>
      </w:r>
    </w:p>
    <w:p>
      <w:pPr>
        <w:spacing w:after="0" w:line="180"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22"/>
          <w:szCs w:val="22"/>
          <w:color w:val="auto"/>
        </w:rPr>
        <w:t>The Company has eleven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2"/>
          <w:szCs w:val="22"/>
          <w:color w:val="auto"/>
        </w:rPr>
        <w:t>characteristics, nature of services, production processes, customers, water distribution or wastewater collection methods, and the nature of the regulatory environment. The Regulated Natural Gas segment is comprised of one operating segment representing the Company’s natural gas utility companies, which provide natural gas distribution to retail, commercial, and industrial customers.</w:t>
      </w:r>
    </w:p>
    <w:p>
      <w:pPr>
        <w:spacing w:after="0" w:line="97"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22"/>
          <w:szCs w:val="22"/>
          <w:color w:val="auto"/>
        </w:rPr>
        <w:t>In addition to the Company’s two reportable segments, the Company includes two operating segments within the Other category below. These segments are not quantitatively significant and are comprised of its non-regulated natural gas operations and non-regulated water and wastewater operations.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84"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22"/>
          <w:szCs w:val="22"/>
          <w:color w:val="auto"/>
        </w:rPr>
        <w:t>The following table presents information about the Company’s reportable segments and reconciliations to consolidated amounts. Asset information by segment is not utilized for purposes of assessing performance or allocating resources, and, as a result, such information is not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9"/>
          </w:tcPr>
          <w:p>
            <w:pPr>
              <w:jc w:val="right"/>
              <w:ind w:right="64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jc w:val="right"/>
              <w:ind w:right="680"/>
              <w:spacing w:after="0"/>
              <w:rPr>
                <w:sz w:val="20"/>
                <w:szCs w:val="20"/>
                <w:color w:val="auto"/>
              </w:rPr>
            </w:pPr>
            <w:r>
              <w:rPr>
                <w:rFonts w:ascii="Times New Roman" w:cs="Times New Roman" w:eastAsia="Times New Roman" w:hAnsi="Times New Roman"/>
                <w:sz w:val="14"/>
                <w:szCs w:val="14"/>
                <w:color w:val="auto"/>
              </w:rPr>
              <w:t>September 30, 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9"/>
          </w:tcPr>
          <w:p>
            <w:pPr>
              <w:jc w:val="right"/>
              <w:ind w:right="680"/>
              <w:spacing w:after="0"/>
              <w:rPr>
                <w:sz w:val="20"/>
                <w:szCs w:val="20"/>
                <w:color w:val="auto"/>
              </w:rPr>
            </w:pPr>
            <w:r>
              <w:rPr>
                <w:rFonts w:ascii="Times New Roman" w:cs="Times New Roman" w:eastAsia="Times New Roman" w:hAnsi="Times New Roman"/>
                <w:sz w:val="14"/>
                <w:szCs w:val="14"/>
                <w:color w:val="auto"/>
              </w:rPr>
              <w:t>September 30, 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w w:val="94"/>
              </w:rPr>
              <w:t>Total</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60"/>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Reportable</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Other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Regulated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Regulated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Reportable</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7"/>
              </w:rPr>
              <w:t>Other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Water</w:t>
            </w:r>
          </w:p>
        </w:tc>
        <w:tc>
          <w:tcPr>
            <w:tcW w:w="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Natural Gas</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Segments</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Elims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Water</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Natural Gas</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Segments</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Elims</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19"/>
        </w:trPr>
        <w:tc>
          <w:tcPr>
            <w:tcW w:w="19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Revenues from external</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364,055</w:t>
            </w: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107,933</w:t>
            </w:r>
          </w:p>
        </w:tc>
        <w:tc>
          <w:tcPr>
            <w:tcW w:w="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471,988</w:t>
            </w:r>
          </w:p>
        </w:tc>
        <w:tc>
          <w:tcPr>
            <w:tcW w:w="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4,983</w:t>
            </w:r>
          </w:p>
        </w:tc>
        <w:tc>
          <w:tcPr>
            <w:tcW w:w="4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476,971</w:t>
            </w:r>
          </w:p>
        </w:tc>
        <w:tc>
          <w:tcPr>
            <w:tcW w:w="2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334,477</w:t>
            </w:r>
          </w:p>
        </w:tc>
        <w:tc>
          <w:tcPr>
            <w:tcW w:w="4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96,299</w:t>
            </w:r>
          </w:p>
        </w:tc>
        <w:tc>
          <w:tcPr>
            <w:tcW w:w="2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430,776</w:t>
            </w:r>
          </w:p>
        </w:tc>
        <w:tc>
          <w:tcPr>
            <w:tcW w:w="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4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435,255</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customers</w:t>
            </w:r>
          </w:p>
        </w:tc>
        <w:tc>
          <w:tcPr>
            <w:tcW w:w="8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Intersegment revenues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19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operating revenues</w:t>
            </w: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364,055</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108,450</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472,505</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4,466</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476,971</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334,477</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96,731</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431,208</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4,047</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435,255</w:t>
            </w:r>
          </w:p>
        </w:tc>
        <w:tc>
          <w:tcPr>
            <w:tcW w:w="0" w:type="dxa"/>
            <w:vAlign w:val="bottom"/>
          </w:tcPr>
          <w:p>
            <w:pPr>
              <w:spacing w:after="0"/>
              <w:rPr>
                <w:sz w:val="1"/>
                <w:szCs w:val="1"/>
                <w:color w:val="auto"/>
              </w:rPr>
            </w:pPr>
          </w:p>
        </w:tc>
      </w:tr>
      <w:tr>
        <w:trPr>
          <w:trHeight w:val="139"/>
        </w:trPr>
        <w:tc>
          <w:tcPr>
            <w:tcW w:w="19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Operations and maintenance</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105,681</w:t>
            </w:r>
          </w:p>
        </w:tc>
        <w:tc>
          <w:tcPr>
            <w:tcW w:w="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47,453</w:t>
            </w:r>
          </w:p>
        </w:tc>
        <w:tc>
          <w:tcPr>
            <w:tcW w:w="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153,134</w:t>
            </w: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153,088</w:t>
            </w:r>
          </w:p>
        </w:tc>
        <w:tc>
          <w:tcPr>
            <w:tcW w:w="2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96,369</w:t>
            </w:r>
          </w:p>
        </w:tc>
        <w:tc>
          <w:tcPr>
            <w:tcW w:w="4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49,002</w:t>
            </w:r>
          </w:p>
        </w:tc>
        <w:tc>
          <w:tcPr>
            <w:tcW w:w="2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145,371</w:t>
            </w: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(1,003)</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144,368</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17,603</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19,095</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65,195</w:t>
            </w: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41,411</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106,606</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107,066</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57,877</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34,318</w:t>
            </w: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92,195</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92,601</w:t>
            </w: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17,851</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24,102</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38,233</w:t>
            </w: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26,197</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64,430</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16,760</w:t>
            </w: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81,190</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35,094</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22,121</w:t>
            </w: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57,215</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18,237</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75,452</w:t>
            </w:r>
          </w:p>
        </w:tc>
        <w:tc>
          <w:tcPr>
            <w:tcW w:w="0" w:type="dxa"/>
            <w:vAlign w:val="bottom"/>
          </w:tcPr>
          <w:p>
            <w:pPr>
              <w:spacing w:after="0"/>
              <w:rPr>
                <w:sz w:val="1"/>
                <w:szCs w:val="1"/>
                <w:color w:val="auto"/>
              </w:rPr>
            </w:pPr>
          </w:p>
        </w:tc>
      </w:tr>
      <w:tr>
        <w:trPr>
          <w:trHeight w:val="139"/>
        </w:trPr>
        <w:tc>
          <w:tcPr>
            <w:tcW w:w="19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Allowance for funds used</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(4,526)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(6,180)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(6,180)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(4,326)</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(1,267)</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(5,593)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during construction</w:t>
            </w: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Gain on sale of other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23"/>
                <w:szCs w:val="23"/>
                <w:color w:val="auto"/>
                <w:vertAlign w:val="superscript"/>
              </w:rPr>
              <w:t>(b)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39"/>
        </w:trPr>
        <w:tc>
          <w:tcPr>
            <w:tcW w:w="19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19,273</w:t>
            </w:r>
          </w:p>
        </w:tc>
        <w:tc>
          <w:tcPr>
            <w:tcW w:w="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(5,565)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13,708</w:t>
            </w: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(9,409)</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2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19,289</w:t>
            </w:r>
          </w:p>
        </w:tc>
        <w:tc>
          <w:tcPr>
            <w:tcW w:w="4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2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19,517</w:t>
            </w: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(3,677)</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15,840</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(benefit)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122,014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(24,831)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(5,106)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92,077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112,275</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(30,660)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(12,213)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color w:val="auto"/>
              </w:rPr>
              <w:t>Nine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color w:val="auto"/>
              </w:rPr>
              <w:t>Nine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jc w:val="right"/>
              <w:ind w:right="680"/>
              <w:spacing w:after="0"/>
              <w:rPr>
                <w:sz w:val="20"/>
                <w:szCs w:val="20"/>
                <w:color w:val="auto"/>
              </w:rPr>
            </w:pPr>
            <w:r>
              <w:rPr>
                <w:rFonts w:ascii="Times New Roman" w:cs="Times New Roman" w:eastAsia="Times New Roman" w:hAnsi="Times New Roman"/>
                <w:sz w:val="14"/>
                <w:szCs w:val="14"/>
                <w:color w:val="auto"/>
              </w:rPr>
              <w:t>September 30, 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jc w:val="right"/>
              <w:ind w:right="680"/>
              <w:spacing w:after="0"/>
              <w:rPr>
                <w:sz w:val="20"/>
                <w:szCs w:val="20"/>
                <w:color w:val="auto"/>
              </w:rPr>
            </w:pPr>
            <w:r>
              <w:rPr>
                <w:rFonts w:ascii="Times New Roman" w:cs="Times New Roman" w:eastAsia="Times New Roman" w:hAnsi="Times New Roman"/>
                <w:sz w:val="14"/>
                <w:szCs w:val="14"/>
                <w:color w:val="auto"/>
              </w:rPr>
              <w:t>September 30, 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Reportable</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Other and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8"/>
              </w:rPr>
              <w:t>Regulated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Reportable</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7"/>
              </w:rPr>
              <w:t>Other 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85"/>
        </w:trPr>
        <w:tc>
          <w:tcPr>
            <w:tcW w:w="19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Water</w:t>
            </w:r>
          </w:p>
        </w:tc>
        <w:tc>
          <w:tcPr>
            <w:tcW w:w="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Natural Gas</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Segments</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Elims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Water</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Segments</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Elims</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Revenues from external</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997,185</w:t>
            </w:r>
          </w:p>
        </w:tc>
        <w:tc>
          <w:tcPr>
            <w:tcW w:w="2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754,145</w:t>
            </w:r>
          </w:p>
        </w:tc>
        <w:tc>
          <w:tcPr>
            <w:tcW w:w="4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1,751,330</w:t>
            </w:r>
          </w:p>
        </w:tc>
        <w:tc>
          <w:tcPr>
            <w:tcW w:w="6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24,174</w:t>
            </w:r>
          </w:p>
        </w:tc>
        <w:tc>
          <w:tcPr>
            <w:tcW w:w="4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1,775,504</w:t>
            </w:r>
          </w:p>
        </w:tc>
        <w:tc>
          <w:tcPr>
            <w:tcW w:w="24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916,850</w:t>
            </w:r>
          </w:p>
        </w:tc>
        <w:tc>
          <w:tcPr>
            <w:tcW w:w="40" w:type="dxa"/>
            <w:vAlign w:val="bottom"/>
            <w:shd w:val="clear" w:color="auto" w:fill="CCEEFF"/>
          </w:tcPr>
          <w:p>
            <w:pPr>
              <w:spacing w:after="0"/>
              <w:rPr>
                <w:sz w:val="9"/>
                <w:szCs w:val="9"/>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547,432</w:t>
            </w:r>
          </w:p>
        </w:tc>
        <w:tc>
          <w:tcPr>
            <w:tcW w:w="6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1,464,282</w:t>
            </w:r>
          </w:p>
        </w:tc>
        <w:tc>
          <w:tcPr>
            <w:tcW w:w="6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17,448</w:t>
            </w:r>
          </w:p>
        </w:tc>
        <w:tc>
          <w:tcPr>
            <w:tcW w:w="4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1,481,730</w:t>
            </w:r>
          </w:p>
        </w:tc>
        <w:tc>
          <w:tcPr>
            <w:tcW w:w="0" w:type="dxa"/>
            <w:vAlign w:val="bottom"/>
          </w:tcPr>
          <w:p>
            <w:pPr>
              <w:spacing w:after="0"/>
              <w:rPr>
                <w:sz w:val="1"/>
                <w:szCs w:val="1"/>
                <w:color w:val="auto"/>
              </w:rPr>
            </w:pPr>
          </w:p>
        </w:tc>
      </w:tr>
      <w:tr>
        <w:trPr>
          <w:trHeight w:val="185"/>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customers</w:t>
            </w:r>
          </w:p>
        </w:tc>
        <w:tc>
          <w:tcPr>
            <w:tcW w:w="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Intersegment revenues</w:t>
            </w: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19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operating revenues</w:t>
            </w: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997,185</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756,568</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1,753,753</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21,751</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1,775,504</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916,850</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549,250</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1,466,100</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15,630</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1,481,730</w:t>
            </w:r>
          </w:p>
        </w:tc>
        <w:tc>
          <w:tcPr>
            <w:tcW w:w="0" w:type="dxa"/>
            <w:vAlign w:val="bottom"/>
          </w:tcPr>
          <w:p>
            <w:pPr>
              <w:spacing w:after="0"/>
              <w:rPr>
                <w:sz w:val="1"/>
                <w:szCs w:val="1"/>
                <w:color w:val="auto"/>
              </w:rPr>
            </w:pPr>
          </w:p>
        </w:tc>
      </w:tr>
      <w:tr>
        <w:trPr>
          <w:trHeight w:val="126"/>
        </w:trPr>
        <w:tc>
          <w:tcPr>
            <w:tcW w:w="1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Operations and maintenance</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295,248</w:t>
            </w:r>
          </w:p>
        </w:tc>
        <w:tc>
          <w:tcPr>
            <w:tcW w:w="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152,914</w:t>
            </w:r>
          </w:p>
        </w:tc>
        <w:tc>
          <w:tcPr>
            <w:tcW w:w="4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448,162</w:t>
            </w:r>
          </w:p>
        </w:tc>
        <w:tc>
          <w:tcPr>
            <w:tcW w:w="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(8,740)</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439,422</w:t>
            </w:r>
          </w:p>
        </w:tc>
        <w:tc>
          <w:tcPr>
            <w:tcW w:w="24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282,627</w:t>
            </w:r>
          </w:p>
        </w:tc>
        <w:tc>
          <w:tcPr>
            <w:tcW w:w="40" w:type="dxa"/>
            <w:vAlign w:val="bottom"/>
          </w:tcPr>
          <w:p>
            <w:pPr>
              <w:spacing w:after="0"/>
              <w:rPr>
                <w:sz w:val="10"/>
                <w:szCs w:val="10"/>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144,628</w:t>
            </w:r>
          </w:p>
        </w:tc>
        <w:tc>
          <w:tcPr>
            <w:tcW w:w="6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427,255</w:t>
            </w:r>
          </w:p>
        </w:tc>
        <w:tc>
          <w:tcPr>
            <w:tcW w:w="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(3,475)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423,780</w:t>
            </w:r>
          </w:p>
        </w:tc>
        <w:tc>
          <w:tcPr>
            <w:tcW w:w="0" w:type="dxa"/>
            <w:vAlign w:val="bottom"/>
          </w:tcPr>
          <w:p>
            <w:pPr>
              <w:spacing w:after="0"/>
              <w:rPr>
                <w:sz w:val="1"/>
                <w:szCs w:val="1"/>
                <w:color w:val="auto"/>
              </w:rPr>
            </w:pPr>
          </w:p>
        </w:tc>
      </w:tr>
      <w:tr>
        <w:trPr>
          <w:trHeight w:val="185"/>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250,456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250,456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13,426</w:t>
            </w: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263,882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175,825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175,825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6,673</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182,498</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190,555</w:t>
            </w: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118,049</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308,604</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309,962</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172,696</w:t>
            </w:r>
          </w:p>
        </w:tc>
        <w:tc>
          <w:tcPr>
            <w:tcW w:w="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99,361</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272,057</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273,051</w:t>
            </w: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w:t>
            </w: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68,291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50,600</w:t>
            </w: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71,359</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111,828</w:t>
            </w: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78,170</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189,998</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52,536</w:t>
            </w: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242,534</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104,334</w:t>
            </w:r>
          </w:p>
        </w:tc>
        <w:tc>
          <w:tcPr>
            <w:tcW w:w="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68,346</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172,680</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47,825</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220,505</w:t>
            </w:r>
          </w:p>
        </w:tc>
        <w:tc>
          <w:tcPr>
            <w:tcW w:w="0" w:type="dxa"/>
            <w:vAlign w:val="bottom"/>
          </w:tcPr>
          <w:p>
            <w:pPr>
              <w:spacing w:after="0"/>
              <w:rPr>
                <w:sz w:val="1"/>
                <w:szCs w:val="1"/>
                <w:color w:val="auto"/>
              </w:rPr>
            </w:pPr>
          </w:p>
        </w:tc>
      </w:tr>
      <w:tr>
        <w:trPr>
          <w:trHeight w:val="126"/>
        </w:trPr>
        <w:tc>
          <w:tcPr>
            <w:tcW w:w="1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Allowance for funds used</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(14,880)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(4,159)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(19,039)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(19,039)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(11,976)</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(3,527)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(15,503)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(15,503)</w:t>
            </w:r>
          </w:p>
        </w:tc>
        <w:tc>
          <w:tcPr>
            <w:tcW w:w="0" w:type="dxa"/>
            <w:vAlign w:val="bottom"/>
          </w:tcPr>
          <w:p>
            <w:pPr>
              <w:spacing w:after="0"/>
              <w:rPr>
                <w:sz w:val="1"/>
                <w:szCs w:val="1"/>
                <w:color w:val="auto"/>
              </w:rPr>
            </w:pPr>
          </w:p>
        </w:tc>
      </w:tr>
      <w:tr>
        <w:trPr>
          <w:trHeight w:val="185"/>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during construction</w:t>
            </w:r>
          </w:p>
        </w:tc>
        <w:tc>
          <w:tcPr>
            <w:tcW w:w="8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40" w:type="dxa"/>
            <w:vAlign w:val="bottom"/>
            <w:gridSpan w:val="4"/>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Gain on sale of other assets </w:t>
            </w:r>
            <w:r>
              <w:rPr>
                <w:rFonts w:ascii="Times New Roman" w:cs="Times New Roman" w:eastAsia="Times New Roman" w:hAnsi="Times New Roman"/>
                <w:sz w:val="23"/>
                <w:szCs w:val="23"/>
                <w:color w:val="auto"/>
                <w:vertAlign w:val="superscript"/>
              </w:rPr>
              <w:t>(a)</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(91,581)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(92,060)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(92,067)</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23"/>
                <w:szCs w:val="23"/>
                <w:color w:val="auto"/>
                <w:vertAlign w:val="superscript"/>
              </w:rPr>
              <w:t>(b)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(1,144)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26"/>
        </w:trPr>
        <w:tc>
          <w:tcPr>
            <w:tcW w:w="1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32,542</w:t>
            </w:r>
          </w:p>
        </w:tc>
        <w:tc>
          <w:tcPr>
            <w:tcW w:w="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(34,517)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(1,975)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(9,749)</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(11,724)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54,604</w:t>
            </w:r>
          </w:p>
        </w:tc>
        <w:tc>
          <w:tcPr>
            <w:tcW w:w="40" w:type="dxa"/>
            <w:vAlign w:val="bottom"/>
          </w:tcPr>
          <w:p>
            <w:pPr>
              <w:spacing w:after="0"/>
              <w:rPr>
                <w:sz w:val="10"/>
                <w:szCs w:val="10"/>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(38,752)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15,852</w:t>
            </w:r>
          </w:p>
        </w:tc>
        <w:tc>
          <w:tcPr>
            <w:tcW w:w="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(8,790)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7,062</w:t>
            </w:r>
          </w:p>
        </w:tc>
        <w:tc>
          <w:tcPr>
            <w:tcW w:w="0" w:type="dxa"/>
            <w:vAlign w:val="bottom"/>
          </w:tcPr>
          <w:p>
            <w:pPr>
              <w:spacing w:after="0"/>
              <w:rPr>
                <w:sz w:val="1"/>
                <w:szCs w:val="1"/>
                <w:color w:val="auto"/>
              </w:rPr>
            </w:pPr>
          </w:p>
        </w:tc>
      </w:tr>
      <w:tr>
        <w:trPr>
          <w:trHeight w:val="185"/>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(benefit)</w:t>
            </w:r>
          </w:p>
        </w:tc>
        <w:tc>
          <w:tcPr>
            <w:tcW w:w="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330,416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182,190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512,606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(28,913)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483,693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263,859</w:t>
            </w: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177,563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441,422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(30,863)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410,559</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520,937</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462,152</w:t>
            </w:r>
          </w:p>
        </w:tc>
        <w:tc>
          <w:tcPr>
            <w:tcW w:w="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983,089</w:t>
            </w: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983,089</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495,259</w:t>
            </w:r>
          </w:p>
        </w:tc>
        <w:tc>
          <w:tcPr>
            <w:tcW w:w="4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436,807</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932,066</w:t>
            </w: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932,498</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30"/>
          <w:szCs w:val="30"/>
          <w:color w:val="auto"/>
          <w:vertAlign w:val="superscript"/>
        </w:rPr>
      </w:pPr>
      <w:r>
        <w:rPr>
          <w:rFonts w:ascii="Times New Roman" w:cs="Times New Roman" w:eastAsia="Times New Roman" w:hAnsi="Times New Roman"/>
          <w:sz w:val="16"/>
          <w:szCs w:val="16"/>
          <w:color w:val="auto"/>
        </w:rPr>
        <w:t xml:space="preserve">Refer to Note 4 – </w:t>
      </w:r>
      <w:r>
        <w:rPr>
          <w:rFonts w:ascii="Times New Roman" w:cs="Times New Roman" w:eastAsia="Times New Roman" w:hAnsi="Times New Roman"/>
          <w:sz w:val="16"/>
          <w:szCs w:val="16"/>
          <w:i w:val="1"/>
          <w:iCs w:val="1"/>
          <w:color w:val="auto"/>
        </w:rPr>
        <w:t>Dispositions</w:t>
      </w:r>
      <w:r>
        <w:rPr>
          <w:rFonts w:ascii="Times New Roman" w:cs="Times New Roman" w:eastAsia="Times New Roman" w:hAnsi="Times New Roman"/>
          <w:sz w:val="16"/>
          <w:szCs w:val="16"/>
          <w:color w:val="auto"/>
        </w:rPr>
        <w:t xml:space="preserve"> for additional information.</w:t>
      </w:r>
    </w:p>
    <w:p>
      <w:pPr>
        <w:spacing w:after="0" w:line="50" w:lineRule="exact"/>
        <w:rPr>
          <w:rFonts w:ascii="Arial" w:cs="Arial" w:eastAsia="Arial" w:hAnsi="Arial"/>
          <w:sz w:val="30"/>
          <w:szCs w:val="30"/>
          <w:color w:val="auto"/>
          <w:vertAlign w:val="superscript"/>
        </w:rPr>
      </w:pPr>
    </w:p>
    <w:p>
      <w:pPr>
        <w:ind w:left="260" w:hanging="252"/>
        <w:spacing w:after="0" w:line="182" w:lineRule="auto"/>
        <w:tabs>
          <w:tab w:leader="none" w:pos="260" w:val="left"/>
        </w:tabs>
        <w:numPr>
          <w:ilvl w:val="0"/>
          <w:numId w:val="2"/>
        </w:numPr>
        <w:rPr>
          <w:rFonts w:ascii="Arial" w:cs="Arial" w:eastAsia="Arial" w:hAnsi="Arial"/>
          <w:sz w:val="22"/>
          <w:szCs w:val="22"/>
          <w:color w:val="auto"/>
          <w:vertAlign w:val="superscript"/>
        </w:rPr>
      </w:pPr>
      <w:r>
        <w:rPr>
          <w:rFonts w:ascii="Times New Roman" w:cs="Times New Roman" w:eastAsia="Times New Roman" w:hAnsi="Times New Roman"/>
          <w:sz w:val="13"/>
          <w:szCs w:val="13"/>
          <w:color w:val="auto"/>
        </w:rPr>
        <w:t>Other segment items mainly consists of the non-service cost component of pension and other postretirement benefits for our regulated segments.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 </w:t>
      </w:r>
      <w:r>
        <w:rPr>
          <w:rFonts w:ascii="Times New Roman" w:cs="Times New Roman" w:eastAsia="Times New Roman" w:hAnsi="Times New Roman"/>
          <w:sz w:val="22"/>
          <w:szCs w:val="22"/>
          <w:b w:val="1"/>
          <w:bCs w:val="1"/>
          <w:i w:val="1"/>
          <w:iCs w:val="1"/>
          <w:color w:val="auto"/>
        </w:rPr>
        <w:t>Commitments and Contingencies</w:t>
      </w:r>
    </w:p>
    <w:p>
      <w:pPr>
        <w:spacing w:after="0" w:line="185"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22"/>
          <w:szCs w:val="22"/>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September 30, 2025, the aggregate amount of $22,429 is accrued for loss contingencies and is reported in the Company’s condensed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September 30, 2025, estimates that approximately $769 of the amount accrued for these matters are probable of recovery through insurance, which amount is also reported in the Company’s condensed consolidated balance sheet as deferred charges and other assets, net.</w:t>
      </w:r>
    </w:p>
    <w:p>
      <w:pPr>
        <w:spacing w:after="0" w:line="186"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22"/>
          <w:szCs w:val="22"/>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The Company has accrued for the penalty and other fees that will be paid as a result of a settlement that was reached with the state and local regulators and approved by the Illinois court with</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jurisdiction over this matter in July 2024.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In December, 2024, the State court in Will County, Illinois dismissed the case against the Company, and plaintiffs have filed an appeal of that decision. In addition, plaintiffs commenced similar actions in federal court and in front of two state agencies. The Company has an accrual for the amount of loss asserted in the complaint that we determined to be probable and estimable of being incurred. The Company is vigorously defending against this claim.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 Further, the Company submitted a claim for the expenses incurred to its insurance carrier for potential recovery of a portion of these costs and is currently in litigation with one of its carriers seeking to enforce its claims, and recently prevailed in the Third Circuit Court of Appeals which held that the insurance carrier possessed a duty to defend. In February 2025, the Company received $5,602 in related insurance proceeds for a portion of expenses incurred by the Company. The Company continues to assess the potential loss contingency on this matter.</w:t>
      </w:r>
    </w:p>
    <w:p>
      <w:pPr>
        <w:spacing w:after="0" w:line="20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A number of the Company’s subsidiaries are parties to several lawsuits against manufacturers of certain per- and polyfluoroalkyl substances or compounds (“PFAS”) for damages, contribution and reimbursement of costs incurred and continuing to be incurred to address the presence of such PFAS in public water supply systems owned and operated by these utility subsidiaries throughout its service area. One such suit to which the Company is a party is a multi-district litigation (the “MDL”) lawsuit which commenced on December 7, 2018, in the United States District Court for the District of South Carolina. Several defendants in such lawsuit have agreed to settle. In 2024, the MDL court granted approval of the DuPont, 3M, Tyco Fire Products LP, and BASF Corp class action settlements. The Company submitted the phase one public water system claims requirements, and will submit other requirements within the time period provided by the MDL court. The total amount of recovery by the Company is uncertain. In July and August 2025, the Company received a total of $39,844, representing a portion of its share of the settlement reached with 3M, net of legal fees and settlement costs. The Company recorded $8,776 of the proceeds allocated to its North Carolina and Virginia water and wastewater subsidiaries as a regulatory liability, pursuant to regulatory orders issued by the public utility commissions from such states regarding the treatment of PFAS settlement costs. The remaining proceeds received that were allocated to the Company’s other water and wastewater subsidiaries totaling $31,068 were recorded within Deferred Credits and Other Non-current liabilities in the accompanying condensed consolidated balance sheet, pending recommendation or order from the respective public utility commissions on treatment of the amounts. These cash proceeds are presented within Other in the cash flows from operating activities in the accompanying condensed consolidated statement of cash flows. The Company anticipates receiving additional settlement payments from the MDL lawsuit defendants.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3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2"/>
          <w:szCs w:val="22"/>
          <w:color w:val="auto"/>
        </w:rPr>
        <w:t>The Company’s gas subsidiary was served with lawsuits surrounding a home explosion in August 2023 in which six individuals lost their lives. The twelve lawsuits bring the actions against several other defendants and seek damages for loss of life, property, emotional distress, and other damage. The Company is vigorously defending against this claim.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92"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1"/>
          <w:szCs w:val="21"/>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83"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In addition to the aforementioned loss contingencies, the Company self-insures a portion of its employee medical benefit program, and maintains stop-loss coverage to limit the exposure arising from these claims. The Company’s reserve for these claims totaled $4,934 at September 30, 2025 and represents a reserve for unpaid claim costs, including an estimate for the cost of incurred but not reported claims.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16 – </w:t>
      </w:r>
      <w:r>
        <w:rPr>
          <w:rFonts w:ascii="Times New Roman" w:cs="Times New Roman" w:eastAsia="Times New Roman" w:hAnsi="Times New Roman"/>
          <w:sz w:val="22"/>
          <w:szCs w:val="22"/>
          <w:b w:val="1"/>
          <w:bCs w:val="1"/>
          <w:i w:val="1"/>
          <w:iCs w:val="1"/>
          <w:color w:val="auto"/>
        </w:rPr>
        <w:t>Income Taxes</w:t>
      </w:r>
    </w:p>
    <w:p>
      <w:pPr>
        <w:spacing w:after="0" w:line="22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The Company’s effective tax rate was an expense of 4.5% and a benefit of 2.5% for the three and nine months ended September 30, 2025, respectively. The Company’s effective tax rate was an expense of 18.6% and 1.7% for the three and nine months ended September 30, 2024, respectively. The decrease in income tax expense in the third quarter of 2025 is primarily attributed to the net increase in tax benefit associated with the tax deduction for continued qualifying infrastructure investment, offset by decreases in both the state tax benefit and amortization of tax repairs surcredit in the Regulated Natural Gas segment based on a rate order received in September 2024. The increase in the income tax benefit for the first nine months of 2025 is primarily attributed to the release of $22,575 of income tax reserve regulatory liability in the Regulated Water segment based on the rate order received by Aqua Pennsylvania in February 2025, offset by the decreases in both the state tax benefit and amortization of tax repairs surcredit in the Regulated Natural Gas segment based on a rate order received in September 2024.</w:t>
      </w:r>
    </w:p>
    <w:p>
      <w:pPr>
        <w:spacing w:after="0" w:line="178" w:lineRule="exact"/>
        <w:rPr>
          <w:sz w:val="20"/>
          <w:szCs w:val="20"/>
          <w:color w:val="auto"/>
        </w:rPr>
      </w:pPr>
    </w:p>
    <w:p>
      <w:pPr>
        <w:ind w:right="480"/>
        <w:spacing w:after="0" w:line="238" w:lineRule="auto"/>
        <w:rPr>
          <w:sz w:val="20"/>
          <w:szCs w:val="20"/>
          <w:color w:val="auto"/>
        </w:rPr>
      </w:pPr>
      <w:r>
        <w:rPr>
          <w:rFonts w:ascii="Times New Roman" w:cs="Times New Roman" w:eastAsia="Times New Roman" w:hAnsi="Times New Roman"/>
          <w:sz w:val="22"/>
          <w:szCs w:val="22"/>
          <w:color w:val="auto"/>
        </w:rPr>
        <w:t>In determining its interim tax provision, the Company reflects its estimated impact from its permanent and flow-through tax differences. The Company uses the flow-through method to account for the repairs tax deduction for qualifying utility infrastructure at its regulated Pennsylvania and New Jersey subsidiaries.</w:t>
      </w:r>
    </w:p>
    <w:p>
      <w:pPr>
        <w:spacing w:after="0" w:line="179"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The statutory Federal tax rate is 21.0% for the nine months ended September 30, 2025 and 2024. For states with a corporate net income tax, the state corporate net income tax rates range from 2.25% to 9.50% for all periods presented. Our effective tax rate differs from the federal statutory tax rate primarily due to flow-through tax, the amortization of deferred benefit from repair method changes, state income taxes, and other permanent book-to-tax differences.</w:t>
      </w:r>
    </w:p>
    <w:p>
      <w:pPr>
        <w:spacing w:after="0" w:line="192" w:lineRule="exact"/>
        <w:rPr>
          <w:sz w:val="20"/>
          <w:szCs w:val="20"/>
          <w:color w:val="auto"/>
        </w:rPr>
      </w:pPr>
    </w:p>
    <w:p>
      <w:pPr>
        <w:ind w:right="680"/>
        <w:spacing w:after="0" w:line="229" w:lineRule="auto"/>
        <w:rPr>
          <w:sz w:val="20"/>
          <w:szCs w:val="20"/>
          <w:color w:val="auto"/>
        </w:rPr>
      </w:pPr>
      <w:r>
        <w:rPr>
          <w:rFonts w:ascii="Times New Roman" w:cs="Times New Roman" w:eastAsia="Times New Roman" w:hAnsi="Times New Roman"/>
          <w:sz w:val="22"/>
          <w:szCs w:val="22"/>
          <w:color w:val="auto"/>
        </w:rPr>
        <w:t>On July 4, 2025, H.R.1 – One Big Beautiful Bill Act (“OBBBA”) was enacted into law. The OBBBA includes significant provisions such as the permanent extension of certain expiring provisions of the</w:t>
      </w: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5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2017 Tax Cuts and Jobs Act. The OBBBA did not have a significant impact to our consolidated financial statements.</w:t>
      </w:r>
    </w:p>
    <w:p>
      <w:pPr>
        <w:spacing w:after="0" w:line="241" w:lineRule="exact"/>
        <w:rPr>
          <w:sz w:val="20"/>
          <w:szCs w:val="20"/>
          <w:color w:val="auto"/>
        </w:rPr>
      </w:pPr>
    </w:p>
    <w:p>
      <w:pPr>
        <w:ind w:right="5060"/>
        <w:spacing w:after="0" w:line="442" w:lineRule="auto"/>
        <w:rPr>
          <w:sz w:val="20"/>
          <w:szCs w:val="20"/>
          <w:color w:val="auto"/>
        </w:rPr>
      </w:pPr>
      <w:r>
        <w:rPr>
          <w:rFonts w:ascii="Times New Roman" w:cs="Times New Roman" w:eastAsia="Times New Roman" w:hAnsi="Times New Roman"/>
          <w:sz w:val="22"/>
          <w:szCs w:val="22"/>
          <w:b w:val="1"/>
          <w:bCs w:val="1"/>
          <w:color w:val="auto"/>
        </w:rPr>
        <w:t xml:space="preserve">Note 17 </w:t>
      </w:r>
      <w:r>
        <w:rPr>
          <w:rFonts w:ascii="Times New Roman" w:cs="Times New Roman" w:eastAsia="Times New Roman" w:hAnsi="Times New Roman"/>
          <w:sz w:val="22"/>
          <w:szCs w:val="22"/>
          <w:b w:val="1"/>
          <w:bCs w:val="1"/>
          <w:i w:val="1"/>
          <w:iCs w:val="1"/>
          <w:color w:val="auto"/>
        </w:rPr>
        <w:t>– Recent Accounting Pronouncements and Disclosure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Pronouncements to be adopted upon the effective date:</w:t>
      </w:r>
    </w:p>
    <w:p>
      <w:pPr>
        <w:spacing w:after="0" w:line="2"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1"/>
          <w:szCs w:val="21"/>
          <w:color w:val="auto"/>
        </w:rPr>
        <w:t>In November 2024, the FASB issued ASU 2024-03, “</w:t>
      </w:r>
      <w:r>
        <w:rPr>
          <w:rFonts w:ascii="Times New Roman" w:cs="Times New Roman" w:eastAsia="Times New Roman" w:hAnsi="Times New Roman"/>
          <w:sz w:val="21"/>
          <w:szCs w:val="21"/>
          <w:i w:val="1"/>
          <w:iCs w:val="1"/>
          <w:color w:val="auto"/>
        </w:rPr>
        <w:t>Income Statement Reporting–Comprehensive Income–Expense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Disaggregation Disclosures (Subtopic 220-40), Disaggregation of Income Statement Expenses”</w:t>
      </w:r>
      <w:r>
        <w:rPr>
          <w:rFonts w:ascii="Times New Roman" w:cs="Times New Roman" w:eastAsia="Times New Roman" w:hAnsi="Times New Roman"/>
          <w:sz w:val="21"/>
          <w:szCs w:val="21"/>
          <w:color w:val="auto"/>
        </w:rPr>
        <w:t>. The standard update improves</w:t>
      </w:r>
    </w:p>
    <w:p>
      <w:pPr>
        <w:spacing w:after="0" w:line="1" w:lineRule="exact"/>
        <w:rPr>
          <w:sz w:val="20"/>
          <w:szCs w:val="20"/>
          <w:color w:val="auto"/>
        </w:rPr>
      </w:pPr>
    </w:p>
    <w:p>
      <w:pPr>
        <w:ind w:right="300"/>
        <w:spacing w:after="0" w:line="224" w:lineRule="auto"/>
        <w:rPr>
          <w:sz w:val="20"/>
          <w:szCs w:val="20"/>
          <w:color w:val="auto"/>
        </w:rPr>
      </w:pPr>
      <w:r>
        <w:rPr>
          <w:rFonts w:ascii="Times New Roman" w:cs="Times New Roman" w:eastAsia="Times New Roman" w:hAnsi="Times New Roman"/>
          <w:sz w:val="22"/>
          <w:szCs w:val="22"/>
          <w:color w:val="auto"/>
        </w:rPr>
        <w:t>the disclosures about a public business entity’s 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financial statement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 December 2023, the FASB issued ASU 2023-09, </w:t>
      </w:r>
      <w:r>
        <w:rPr>
          <w:rFonts w:ascii="Times New Roman" w:cs="Times New Roman" w:eastAsia="Times New Roman" w:hAnsi="Times New Roman"/>
          <w:sz w:val="21"/>
          <w:szCs w:val="21"/>
          <w:i w:val="1"/>
          <w:iCs w:val="1"/>
          <w:color w:val="auto"/>
        </w:rPr>
        <w:t>“Income Taxes (Topic 740): Improvements to Income Tax Disclosures”</w:t>
      </w:r>
      <w:r>
        <w:rPr>
          <w:rFonts w:ascii="Times New Roman" w:cs="Times New Roman" w:eastAsia="Times New Roman" w:hAnsi="Times New Roman"/>
          <w:sz w:val="21"/>
          <w:szCs w:val="21"/>
          <w:color w:val="auto"/>
        </w:rPr>
        <w:t>. The</w:t>
      </w:r>
    </w:p>
    <w:p>
      <w:pPr>
        <w:spacing w:after="0" w:line="30"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22"/>
          <w:szCs w:val="22"/>
          <w:color w:val="auto"/>
        </w:rPr>
        <w:t>ASU enhances the transparency and decision usefulness of income tax disclosures and is effective for annual periods beginning after December 15, 2024 on a prospective basis. Early adoption is permitted. The Company plans to adopt the standard in its annual report on Form 10-K for the year ending December 31, 2025. The Company does not expect this ASU to have a significant impact to its current disclosures.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18 </w:t>
      </w:r>
      <w:r>
        <w:rPr>
          <w:rFonts w:ascii="Times New Roman" w:cs="Times New Roman" w:eastAsia="Times New Roman" w:hAnsi="Times New Roman"/>
          <w:sz w:val="22"/>
          <w:szCs w:val="22"/>
          <w:b w:val="1"/>
          <w:bCs w:val="1"/>
          <w:i w:val="1"/>
          <w:iCs w:val="1"/>
          <w:color w:val="auto"/>
        </w:rPr>
        <w:t>– Subsequent Events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Captive Insurance Subsidiary</w:t>
      </w:r>
    </w:p>
    <w:p>
      <w:pPr>
        <w:spacing w:after="0" w:line="2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1"/>
          <w:szCs w:val="21"/>
          <w:color w:val="auto"/>
        </w:rPr>
        <w:t>On October 1, 2025, the Company established a wholly-owned captive insurance company, Utility Insurance LLC, incorporated in the State of Utah, whose principal activity at this time is to provide insurance and reinsurance coverage for a portion of the Company’s general liability, property, workers compensation, auto liability, cyber and management liability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Execution of Agreement and Plan of Merger with American Water</w:t>
      </w:r>
    </w:p>
    <w:p>
      <w:pPr>
        <w:spacing w:after="0" w:line="224"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color w:val="auto"/>
        </w:rPr>
        <w:t>On October 26, 2025, American Water Works Company, Inc. (“American Water”), Alpha Merger Sub, Inc., a direct wholly owned subsidiary of American Water (“Merger Sub”), and the Company, entered into an Agreement and Plan of Merger (the “Merger Agreement”). The Merger Agreement provides that upon the terms and subject to the conditions set forth in the Merger Agreement, Merger Sub will merge with and into the Company (the “Merger”), with the Company surviving the Merger as a wholly owned subsidiary of American Water. Subject to the terms and conditions of the Merger Agreement, at the time at which the Merger becomes effective (the “Effective Time”), each share of the Company’s common stock, par value $0.50 per share (“Essential Common Stock”), issued and outstanding immediately prior to the Effective Time, other than any shares of Essential Common Stock owned by American Water or Merger Sub or by the Company as treasury stock (in each case, other than restricted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3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1"/>
          <w:szCs w:val="21"/>
          <w:color w:val="auto"/>
        </w:rPr>
        <w:t>shares), will be converted into the right to receive 0.305 shares (the “Exchange Ratio”) of validly issued, fully paid and nonassessable common stock, par value $0.01 per share, of American Water (“American Water Common Stock”) (the aggregate number of such shares of American Water Common Stock to be issued in the Merger, the “Merger Consideration”).</w:t>
      </w:r>
    </w:p>
    <w:p>
      <w:pPr>
        <w:spacing w:after="0" w:line="1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Consummation of the Merger is subject to certain customary conditions, including, without limitation: approval by American Water’s shareholders of the issuance of the shares of American Water Common Stock to be issued as Merger Consideration in the Merger; approval of the Merger Agreement by the Company’s shareholders; and receipt of certain governmental approvals, including (a) the expiration or termination of the applicable waiting period under the Hart-Scott-Rodino Antitrust Improvements Act of 1976, and (b) the approval of certain public utility commissions, in each case on such terms and conditions that would not, individually or in the aggregate, result in a “Burdensome Effect” (as defined in the Merger Agreement). There can be no guarantee that all of the closing conditions and approvals will be satisfied, and the failure to complete the proposed merger on a timely basis or at all may adversely affect the Company’s financial condition and results of operations. The Company currently estimates that the closing of the proposed merger will occur by the end of the first quarter of 2027.</w:t>
      </w:r>
    </w:p>
    <w:p>
      <w:pPr>
        <w:spacing w:after="0" w:line="185"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Merger Agreement provides that American Water will retain its current name, maintain its headquarters and principal corporate office in Camden, New Jersey, and maintain substantial operations in Pennsylvania.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60"/>
        <w:spacing w:after="0" w:line="218" w:lineRule="auto"/>
        <w:rPr>
          <w:sz w:val="20"/>
          <w:szCs w:val="20"/>
          <w:color w:val="auto"/>
        </w:rPr>
      </w:pPr>
      <w:r>
        <w:rPr>
          <w:rFonts w:ascii="Times New Roman" w:cs="Times New Roman" w:eastAsia="Times New Roman" w:hAnsi="Times New Roman"/>
          <w:sz w:val="22"/>
          <w:szCs w:val="22"/>
          <w:color w:val="auto"/>
        </w:rPr>
        <w:t>FINANCIAL CONDITION AND RESULTS OF OPERATIONS</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25" w:lineRule="exact"/>
        <w:rPr>
          <w:sz w:val="20"/>
          <w:szCs w:val="20"/>
          <w:color w:val="auto"/>
        </w:rPr>
      </w:pPr>
    </w:p>
    <w:p>
      <w:pPr>
        <w:ind w:right="2700"/>
        <w:spacing w:after="0" w:line="439" w:lineRule="auto"/>
        <w:rPr>
          <w:sz w:val="20"/>
          <w:szCs w:val="20"/>
          <w:color w:val="auto"/>
        </w:rPr>
      </w:pPr>
      <w:r>
        <w:rPr>
          <w:rFonts w:ascii="Times New Roman" w:cs="Times New Roman" w:eastAsia="Times New Roman" w:hAnsi="Times New Roman"/>
          <w:sz w:val="22"/>
          <w:szCs w:val="22"/>
          <w:color w:val="auto"/>
        </w:rPr>
        <w:t>Item 2 – Management’s Discussion and Analysis of Financial Condition and Results of Operations Forward-looking Statements</w:t>
      </w:r>
    </w:p>
    <w:p>
      <w:pPr>
        <w:spacing w:after="0" w:line="2"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the proposed merger with American Water Works Company, Inc. (“American Water”);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the impact of inflation and supply chain pressures, including those resulting from changes in government fiscal policies and regulations, the imposition of tariffs, the threat of cyber-attacks and data breaches, changes in capital requirements and funding, the success of growth initiatives, including pending acquisitions, changes to the capital markets, impact of public health threats, and our ability to assimilate acquired operations, as well as those risks, uncertainties and other factors discussed in our Annual Report on Form 10-K for the fiscal year ended December 31, 2024 under the captions “Risk Factors” and “Management’s Discussion and Analysis of Financial Condition and Results of Operations” and elsewhere in such reports. In addition to the foregoing, there are various risks and other uncertainties associated with the Company’s proposed merger with American Water, including a fixed exchange ratio that will not adjust or account for fluctuations in American Water’s or the Company’s stock price; limitations on the parties’ ability to pursue alternatives to the proposed merger; financial impacts of the proposed merger on the Company and the combined company’s earnings, earnings per share, financial condition, results of operations, cash flows and share price, and any related accounting impacts; any impact of the proposed merger on the Company’s ability to declare and pay quarterly dividends on its common stock; the amount and nature of incurred transaction costs associated with the proposed merger; as well as those risks, uncertainties and other factors discussed in Part II, Item 1A – Risk Factors. As a result, readers are cautioned not to place undue reliance on any forward-looking statements. We undertake no obligation to update or revise forward-looking statements, whether as a result of new information, future events or otherwise.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Information</w:t>
      </w:r>
    </w:p>
    <w:p>
      <w:pPr>
        <w:spacing w:after="0" w:line="206" w:lineRule="exact"/>
        <w:rPr>
          <w:sz w:val="20"/>
          <w:szCs w:val="20"/>
          <w:color w:val="auto"/>
        </w:rPr>
      </w:pPr>
    </w:p>
    <w:p>
      <w:pPr>
        <w:ind w:right="140"/>
        <w:spacing w:after="0" w:line="224" w:lineRule="auto"/>
        <w:rPr>
          <w:sz w:val="20"/>
          <w:szCs w:val="20"/>
          <w:color w:val="auto"/>
        </w:rPr>
      </w:pPr>
      <w:r>
        <w:rPr>
          <w:rFonts w:ascii="Times New Roman" w:cs="Times New Roman" w:eastAsia="Times New Roman" w:hAnsi="Times New Roman"/>
          <w:sz w:val="22"/>
          <w:szCs w:val="22"/>
          <w:color w:val="auto"/>
        </w:rPr>
        <w:t>Essential Utilities, Inc. (“we”, “us”, “our” or the “Company”), a Pennsylvania corporation, is the holding company for regulated utilities providing water, wastewater, or natural gas services to an estimated 5.5 million people in Pennsylvania, Ohio, Texas, Illinois, North Carolina, New Jersey, Indiana, Virginia, and Kentucky under the Aqua and Peoples brands. One of our largest operating subsidiaries, Aqua Pennsylvania, Inc. (“Aqua Pennsylvania”), provides water or wastewater services to approximately one-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3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half of the total number of water or wastewater customers we serve, who are located in the suburban areas in counties north and west of the City of Philadelphia and in 28 other counties in Pennsylvania. Our other regulated water or wastewater utility subsidiaries provide similar services in seven additional states. Our Peoples subsidiaries provide natural gas distribution services to customers in western Pennsylvania and Kentucky. Approximately 95%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spacing w:after="0" w:line="192"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auto"/>
        </w:rPr>
        <w:t>In January 2024, the Company completed the sale of its interest in three non-utility local microgrid and distributed energy projects for $165,000, which resulted in a gain on sale of $91,236. The sale is consistent with the Company’s long-term strategy of focusing on its core business and will allow the Company to prioritize the growth of its utilities in states where it has scale. The Company used the proceeds from the sale to finance its capital expenditures and water and wastewater acquisitions, in place of external funding from equity and debt issuances.</w:t>
      </w:r>
    </w:p>
    <w:p>
      <w:pPr>
        <w:spacing w:after="0" w:line="174"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our financial condition and results of operations should be read together with our condensed consolidated financial statements and related notes.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Recent Developments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Execution of Agreement and Plan of Merger with American Water</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On October 26, 2025, American Water Works Company, Inc. (“American Water”), Alpha Merger Sub, Inc., a direct wholly owned subsidiary of American Water (“Merger Sub”), and the Company, entered into an Agreement and Plan of Merger (the “Merger Agreement”). The Merger Agreement provides that upon the terms and subject to the conditions set forth in the Merger Agreement, Merger Sub will merge with and into the Company (the “Merger”), with the Company surviving the Merger as a wholly owned subsidiary of American Water. Subject to the terms and conditions of the Merger Agreement, at the time at which the Merger becomes effective (the “Effective Time”), each share of the Company’s common stock, par value $0.50 per share (“Essential Common Stock”), issued and outstanding immediately prior to the Effective Time, other than any shares of Essential Common Stock owned by American Water or Merger Sub or by the Company as treasury stock (in each case, other than restricted shares), will be converted into the right to receive 0.305 shares (the “Exchange Ratio”) of validly issued, fully paid and nonassessable common stock, par value $0.01 per share, of American Water (“American Water Common Stock”) (the aggregate number of such shares of American Water Common Stock to be issued in the Merger, the “Merger Consideration”).</w:t>
      </w:r>
    </w:p>
    <w:p>
      <w:pPr>
        <w:spacing w:after="0" w:line="18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2"/>
          <w:szCs w:val="22"/>
          <w:color w:val="auto"/>
        </w:rPr>
        <w:t>Consummation of the Merger is subject to certain customary conditions, including, without limitation: approval by American Water’s shareholders of the issuance of the shares of American Water Common Stock to be issued as Merger Consideration in the Merger; approval of the Merger Agreement by the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22"/>
          <w:szCs w:val="22"/>
          <w:color w:val="auto"/>
        </w:rPr>
        <w:t>Company’s shareholders; and receipt of certain governmental approvals, including (a) the expiration or termination of the applicable waiting period under the Hart-Scott-Rodino Antitrust Improvements Act of 1976, and (b) the approval of certain public utility commissions, in each case on such terms and conditions that would not, individually or in the aggregate, result in a “Burdensome Effect” (as defined in the Merger Agreement). There can be no guarantee that all of the closing conditions and approvals will be satisfied, and the failure to complete the proposed merger on a timely basis or at all may adversely affect the Company’s financial condition and results of operations. The Company currently estimates that the closing of the proposed merger will occur by the end of the first quarter of 2027.</w:t>
      </w:r>
    </w:p>
    <w:p>
      <w:pPr>
        <w:spacing w:after="0" w:line="181"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The Merger Agreement provides that American Water will retain its current name, maintain its headquarters and principal corporate office in Camden, New Jersey, and maintain substantial operations in Pennsylvania.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Macroeconomic Factors</w:t>
      </w:r>
    </w:p>
    <w:p>
      <w:pPr>
        <w:spacing w:after="0" w:line="22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Our business is subject to various economic factors that affect our customers and our industry. The recent changes in government fiscal policies and regulations introduced by the new administration have resulted in heightened uncertainty for businesses and consumers, as well as volatility in financial markets. We will continue to evaluate the evolving macroeconomic environment, including those impacts resulting from the recent imposition, or proposed imposition, of tariffs and potential changes to environmental regulations, and to take action to mitigate the impact on our business, consolidated results of operations, and financial condition. Timely and adequate rate relief is important to our continued profitability and in providing a fair return to our shareholders.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Developments</w:t>
      </w:r>
    </w:p>
    <w:p>
      <w:pPr>
        <w:spacing w:after="0" w:line="224" w:lineRule="exact"/>
        <w:rPr>
          <w:sz w:val="20"/>
          <w:szCs w:val="20"/>
          <w:color w:val="auto"/>
        </w:rPr>
      </w:pPr>
    </w:p>
    <w:p>
      <w:pPr>
        <w:ind w:right="440"/>
        <w:spacing w:after="0" w:line="245" w:lineRule="auto"/>
        <w:rPr>
          <w:sz w:val="20"/>
          <w:szCs w:val="20"/>
          <w:color w:val="auto"/>
        </w:rPr>
      </w:pPr>
      <w:r>
        <w:rPr>
          <w:rFonts w:ascii="Times New Roman" w:cs="Times New Roman" w:eastAsia="Times New Roman" w:hAnsi="Times New Roman"/>
          <w:sz w:val="22"/>
          <w:szCs w:val="22"/>
          <w:color w:val="auto"/>
        </w:rPr>
        <w:t>During the first nine months of 2025, we implemented, or received approval to implement, base rate increases that result in a $87,071 increase in annual revenues as summarized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3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20"/>
                <w:szCs w:val="20"/>
                <w:b w:val="1"/>
                <w:bCs w:val="1"/>
                <w:color w:val="auto"/>
              </w:rPr>
              <w:t>State</w:t>
            </w:r>
          </w:p>
        </w:tc>
        <w:tc>
          <w:tcPr>
            <w:tcW w:w="262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8"/>
              </w:rPr>
              <w:t>Segment</w:t>
            </w:r>
          </w:p>
        </w:tc>
        <w:tc>
          <w:tcPr>
            <w:tcW w:w="27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b w:val="1"/>
                <w:bCs w:val="1"/>
                <w:color w:val="auto"/>
              </w:rPr>
              <w:t>Effective Date</w:t>
            </w:r>
          </w:p>
        </w:tc>
        <w:tc>
          <w:tcPr>
            <w:tcW w:w="32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Annualized Revenue Increase</w:t>
            </w:r>
          </w:p>
        </w:tc>
      </w:tr>
      <w:tr>
        <w:trPr>
          <w:trHeight w:val="210"/>
        </w:trPr>
        <w:tc>
          <w:tcPr>
            <w:tcW w:w="230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rPr>
              <w:t>Ohio</w:t>
            </w:r>
          </w:p>
        </w:tc>
        <w:tc>
          <w:tcPr>
            <w:tcW w:w="2620" w:type="dxa"/>
            <w:vAlign w:val="bottom"/>
            <w:tcBorders>
              <w:bottom w:val="single" w:sz="8" w:color="auto"/>
            </w:tcBorders>
          </w:tcPr>
          <w:p>
            <w:pPr>
              <w:jc w:val="center"/>
              <w:ind w:left="1"/>
              <w:spacing w:after="0" w:line="209" w:lineRule="exact"/>
              <w:rPr>
                <w:sz w:val="20"/>
                <w:szCs w:val="20"/>
                <w:color w:val="auto"/>
              </w:rPr>
            </w:pPr>
            <w:r>
              <w:rPr>
                <w:rFonts w:ascii="Times New Roman" w:cs="Times New Roman" w:eastAsia="Times New Roman" w:hAnsi="Times New Roman"/>
                <w:sz w:val="20"/>
                <w:szCs w:val="20"/>
                <w:color w:val="auto"/>
                <w:w w:val="97"/>
              </w:rPr>
              <w:t>Wastewater</w:t>
            </w:r>
          </w:p>
        </w:tc>
        <w:tc>
          <w:tcPr>
            <w:tcW w:w="276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7/1/2025</w:t>
            </w:r>
          </w:p>
        </w:tc>
        <w:tc>
          <w:tcPr>
            <w:tcW w:w="320" w:type="dxa"/>
            <w:vAlign w:val="bottom"/>
            <w:tcBorders>
              <w:bottom w:val="single" w:sz="8" w:color="auto"/>
            </w:tcBorders>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32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550</w:t>
            </w:r>
          </w:p>
        </w:tc>
      </w:tr>
      <w:tr>
        <w:trPr>
          <w:trHeight w:val="209"/>
        </w:trPr>
        <w:tc>
          <w:tcPr>
            <w:tcW w:w="2300" w:type="dxa"/>
            <w:vAlign w:val="bottom"/>
            <w:tcBorders>
              <w:bottom w:val="single" w:sz="8" w:color="auto"/>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Kentucky</w:t>
            </w:r>
          </w:p>
        </w:tc>
        <w:tc>
          <w:tcPr>
            <w:tcW w:w="2620" w:type="dxa"/>
            <w:vAlign w:val="bottom"/>
            <w:tcBorders>
              <w:bottom w:val="single" w:sz="8" w:color="auto"/>
            </w:tcBorders>
            <w:shd w:val="clear" w:color="auto" w:fill="CCEEFF"/>
          </w:tcPr>
          <w:p>
            <w:pPr>
              <w:jc w:val="center"/>
              <w:ind w:left="1"/>
              <w:spacing w:after="0" w:line="209" w:lineRule="exact"/>
              <w:rPr>
                <w:sz w:val="20"/>
                <w:szCs w:val="20"/>
                <w:color w:val="auto"/>
              </w:rPr>
            </w:pPr>
            <w:r>
              <w:rPr>
                <w:rFonts w:ascii="Times New Roman" w:cs="Times New Roman" w:eastAsia="Times New Roman" w:hAnsi="Times New Roman"/>
                <w:sz w:val="20"/>
                <w:szCs w:val="20"/>
                <w:color w:val="auto"/>
                <w:w w:val="99"/>
              </w:rPr>
              <w:t>Natural Gas</w:t>
            </w:r>
          </w:p>
        </w:tc>
        <w:tc>
          <w:tcPr>
            <w:tcW w:w="2760" w:type="dxa"/>
            <w:vAlign w:val="bottom"/>
            <w:tcBorders>
              <w:bottom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rPr>
              <w:t>7/1/2025</w:t>
            </w:r>
          </w:p>
        </w:tc>
        <w:tc>
          <w:tcPr>
            <w:tcW w:w="32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7,700</w:t>
            </w:r>
          </w:p>
        </w:tc>
      </w:tr>
      <w:tr>
        <w:trPr>
          <w:trHeight w:val="223"/>
        </w:trPr>
        <w:tc>
          <w:tcPr>
            <w:tcW w:w="23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Pennsylvania</w:t>
            </w:r>
          </w:p>
        </w:tc>
        <w:tc>
          <w:tcPr>
            <w:tcW w:w="2620" w:type="dxa"/>
            <w:vAlign w:val="bottom"/>
          </w:tcPr>
          <w:p>
            <w:pPr>
              <w:jc w:val="center"/>
              <w:ind w:left="1"/>
              <w:spacing w:after="0" w:line="223" w:lineRule="exact"/>
              <w:rPr>
                <w:sz w:val="20"/>
                <w:szCs w:val="20"/>
                <w:color w:val="auto"/>
              </w:rPr>
            </w:pPr>
            <w:r>
              <w:rPr>
                <w:rFonts w:ascii="Times New Roman" w:cs="Times New Roman" w:eastAsia="Times New Roman" w:hAnsi="Times New Roman"/>
                <w:sz w:val="20"/>
                <w:szCs w:val="20"/>
                <w:color w:val="auto"/>
                <w:w w:val="98"/>
              </w:rPr>
              <w:t>Water</w:t>
            </w:r>
          </w:p>
        </w:tc>
        <w:tc>
          <w:tcPr>
            <w:tcW w:w="27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2/22/2025</w:t>
            </w:r>
          </w:p>
        </w:tc>
        <w:tc>
          <w:tcPr>
            <w:tcW w:w="320" w:type="dxa"/>
            <w:vAlign w:val="bottom"/>
          </w:tcPr>
          <w:p>
            <w:pPr>
              <w:spacing w:after="0"/>
              <w:rPr>
                <w:sz w:val="19"/>
                <w:szCs w:val="19"/>
                <w:color w:val="auto"/>
              </w:rPr>
            </w:pPr>
          </w:p>
        </w:tc>
        <w:tc>
          <w:tcPr>
            <w:tcW w:w="32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58,400</w:t>
            </w:r>
          </w:p>
        </w:tc>
      </w:tr>
      <w:tr>
        <w:trPr>
          <w:trHeight w:val="216"/>
        </w:trPr>
        <w:tc>
          <w:tcPr>
            <w:tcW w:w="230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center"/>
              <w:ind w:left="1"/>
              <w:spacing w:after="0" w:line="216" w:lineRule="exact"/>
              <w:rPr>
                <w:sz w:val="20"/>
                <w:szCs w:val="20"/>
                <w:color w:val="auto"/>
              </w:rPr>
            </w:pPr>
            <w:r>
              <w:rPr>
                <w:rFonts w:ascii="Times New Roman" w:cs="Times New Roman" w:eastAsia="Times New Roman" w:hAnsi="Times New Roman"/>
                <w:sz w:val="20"/>
                <w:szCs w:val="20"/>
                <w:color w:val="auto"/>
                <w:w w:val="97"/>
              </w:rPr>
              <w:t>Wastewater</w:t>
            </w:r>
          </w:p>
        </w:tc>
        <w:tc>
          <w:tcPr>
            <w:tcW w:w="2760" w:type="dxa"/>
            <w:vAlign w:val="bottom"/>
            <w:tcBorders>
              <w:bottom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2/22/2025</w:t>
            </w:r>
          </w:p>
        </w:tc>
        <w:tc>
          <w:tcPr>
            <w:tcW w:w="32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14,600</w:t>
            </w:r>
          </w:p>
        </w:tc>
      </w:tr>
      <w:tr>
        <w:trPr>
          <w:trHeight w:val="210"/>
        </w:trPr>
        <w:tc>
          <w:tcPr>
            <w:tcW w:w="23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North Carolina*</w:t>
            </w:r>
          </w:p>
        </w:tc>
        <w:tc>
          <w:tcPr>
            <w:tcW w:w="2620" w:type="dxa"/>
            <w:vAlign w:val="bottom"/>
          </w:tcPr>
          <w:p>
            <w:pPr>
              <w:jc w:val="center"/>
              <w:ind w:left="1"/>
              <w:spacing w:after="0" w:line="209" w:lineRule="exact"/>
              <w:rPr>
                <w:sz w:val="20"/>
                <w:szCs w:val="20"/>
                <w:color w:val="auto"/>
              </w:rPr>
            </w:pPr>
            <w:r>
              <w:rPr>
                <w:rFonts w:ascii="Times New Roman" w:cs="Times New Roman" w:eastAsia="Times New Roman" w:hAnsi="Times New Roman"/>
                <w:sz w:val="20"/>
                <w:szCs w:val="20"/>
                <w:color w:val="auto"/>
                <w:w w:val="98"/>
              </w:rPr>
              <w:t>Water</w:t>
            </w:r>
          </w:p>
        </w:tc>
        <w:tc>
          <w:tcPr>
            <w:tcW w:w="27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rPr>
              <w:t>1/1/2025</w:t>
            </w:r>
          </w:p>
        </w:tc>
        <w:tc>
          <w:tcPr>
            <w:tcW w:w="320" w:type="dxa"/>
            <w:vAlign w:val="bottom"/>
          </w:tcPr>
          <w:p>
            <w:pPr>
              <w:spacing w:after="0"/>
              <w:rPr>
                <w:sz w:val="18"/>
                <w:szCs w:val="18"/>
                <w:color w:val="auto"/>
              </w:rPr>
            </w:pPr>
          </w:p>
        </w:tc>
        <w:tc>
          <w:tcPr>
            <w:tcW w:w="32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2,821</w:t>
            </w:r>
          </w:p>
        </w:tc>
      </w:tr>
      <w:tr>
        <w:trPr>
          <w:trHeight w:val="216"/>
        </w:trPr>
        <w:tc>
          <w:tcPr>
            <w:tcW w:w="230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center"/>
              <w:ind w:left="1"/>
              <w:spacing w:after="0" w:line="216" w:lineRule="exact"/>
              <w:rPr>
                <w:sz w:val="20"/>
                <w:szCs w:val="20"/>
                <w:color w:val="auto"/>
              </w:rPr>
            </w:pPr>
            <w:r>
              <w:rPr>
                <w:rFonts w:ascii="Times New Roman" w:cs="Times New Roman" w:eastAsia="Times New Roman" w:hAnsi="Times New Roman"/>
                <w:sz w:val="20"/>
                <w:szCs w:val="20"/>
                <w:color w:val="auto"/>
                <w:w w:val="97"/>
              </w:rPr>
              <w:t>Wastewater</w:t>
            </w:r>
          </w:p>
        </w:tc>
        <w:tc>
          <w:tcPr>
            <w:tcW w:w="2760" w:type="dxa"/>
            <w:vAlign w:val="bottom"/>
            <w:tcBorders>
              <w:bottom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color w:val="auto"/>
              </w:rPr>
              <w:t>1/1/2025</w:t>
            </w:r>
          </w:p>
        </w:tc>
        <w:tc>
          <w:tcPr>
            <w:tcW w:w="32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1,310</w:t>
            </w:r>
          </w:p>
        </w:tc>
      </w:tr>
      <w:tr>
        <w:trPr>
          <w:trHeight w:val="210"/>
        </w:trPr>
        <w:tc>
          <w:tcPr>
            <w:tcW w:w="230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rPr>
              <w:t>Ohio</w:t>
            </w:r>
          </w:p>
        </w:tc>
        <w:tc>
          <w:tcPr>
            <w:tcW w:w="2620" w:type="dxa"/>
            <w:vAlign w:val="bottom"/>
            <w:tcBorders>
              <w:bottom w:val="single" w:sz="8" w:color="auto"/>
            </w:tcBorders>
          </w:tcPr>
          <w:p>
            <w:pPr>
              <w:jc w:val="center"/>
              <w:ind w:left="1"/>
              <w:spacing w:after="0" w:line="209" w:lineRule="exact"/>
              <w:rPr>
                <w:sz w:val="20"/>
                <w:szCs w:val="20"/>
                <w:color w:val="auto"/>
              </w:rPr>
            </w:pPr>
            <w:r>
              <w:rPr>
                <w:rFonts w:ascii="Times New Roman" w:cs="Times New Roman" w:eastAsia="Times New Roman" w:hAnsi="Times New Roman"/>
                <w:sz w:val="20"/>
                <w:szCs w:val="20"/>
                <w:color w:val="auto"/>
                <w:w w:val="98"/>
              </w:rPr>
              <w:t>Water</w:t>
            </w:r>
          </w:p>
        </w:tc>
        <w:tc>
          <w:tcPr>
            <w:tcW w:w="276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1/1/2025</w:t>
            </w:r>
          </w:p>
        </w:tc>
        <w:tc>
          <w:tcPr>
            <w:tcW w:w="3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1,690</w:t>
            </w:r>
          </w:p>
        </w:tc>
      </w:tr>
      <w:tr>
        <w:trPr>
          <w:trHeight w:val="209"/>
        </w:trPr>
        <w:tc>
          <w:tcPr>
            <w:tcW w:w="4920" w:type="dxa"/>
            <w:vAlign w:val="bottom"/>
            <w:tcBorders>
              <w:bottom w:val="single" w:sz="8" w:color="CCEEFF"/>
            </w:tcBorders>
            <w:gridSpan w:val="2"/>
            <w:shd w:val="clear" w:color="auto" w:fill="CCEEFF"/>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Total Base Rate Case Authorizations in 2025</w:t>
            </w:r>
          </w:p>
        </w:tc>
        <w:tc>
          <w:tcPr>
            <w:tcW w:w="2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1"/>
              <w:spacing w:after="0" w:line="20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32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87,071</w:t>
            </w:r>
          </w:p>
        </w:tc>
      </w:tr>
      <w:tr>
        <w:trPr>
          <w:trHeight w:val="20"/>
        </w:trPr>
        <w:tc>
          <w:tcPr>
            <w:tcW w:w="2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Base rate case - step increase for Year 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22"/>
          <w:szCs w:val="22"/>
          <w:color w:val="auto"/>
        </w:rPr>
        <w:t>On July 30, 2025, the Company’s regulated water and wastewater operating subsidiary in Virginia, Aqua Virginia, filed an application with the State Corporation Commission designed to increase revenues by $7,927 annually.</w:t>
      </w:r>
    </w:p>
    <w:p>
      <w:pPr>
        <w:spacing w:after="0" w:line="158"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1"/>
          <w:szCs w:val="21"/>
          <w:color w:val="auto"/>
        </w:rPr>
        <w:t>On June 30, 2025, the Company’s regulated water and wastewater operating subsidiaries in Ohio, Aqua Ohio and Aqua Ohio Wastewater, filed applications with the Public Utilities Commission of Ohio designed to increase rates in total by $14,653.</w:t>
      </w:r>
    </w:p>
    <w:p>
      <w:pPr>
        <w:spacing w:after="0" w:line="16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On June 20, 2025, the Company’s regulated water and wastewater operating subsidiary in Texas, Aqua Texas, filed an application with the Public Utility Commission of Texas designed to increase rates by $29,149.</w:t>
      </w:r>
    </w:p>
    <w:p>
      <w:pPr>
        <w:spacing w:after="0" w:line="186"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On April 30, 2025, the Company’s regulated water and wastewater operating subsidiary in North Carolina, Aqua North Carolina, filed an application with the North Carolina Utilities Commission designed to increase rates by $32,847 in the first year of new rates being implemented, then an additional $5,915 and $6,000 in the second and third years,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Growth Through Acquisitions and Capital Investment</w:t>
      </w:r>
    </w:p>
    <w:p>
      <w:pPr>
        <w:spacing w:after="0" w:line="210"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2"/>
          <w:szCs w:val="22"/>
          <w:color w:val="auto"/>
        </w:rPr>
        <w:t xml:space="preserve">In January 2025, the Company acquired Greenville Sanitary Authority’s wastewater utility assets, which serves approximately 2,300 customers in Greenville, Pennsylvania for $18,000. In April 2025, the Company closed on its acquisition of the Village of Midvale’s water system in Ohio, which serves approximately 1,000 customers for $2,950. In July 2025, the Company acquired the wastewater utility system of the City of Beaver Falls, Pennsylvania for $37,750. The system serves approximately 3,200 customers in the City of Beaver Falls and also provides bulk transmission and treatment service for approximately 3,800 equivalent dwelling units in seven nearby municipalities. As of September 30, 2025, the Company had four signed purchase agreements for additional water and wastewater systems that are expected to serve approximately 203,000 equivalent retail customers or equivalent dwelling units and total approximately $300,000 in purchase price in two of our existing states. This includes the Company’s agreement to acquire the Delaware County Regional Water Quality Control Authority (DELCORA) for $276,500. DELCORA, a Pennsylvania sewer authority, serves approximately 198,000 equivalent dwelling units in the Philadelphia suburbs. Refer to Note 3 – </w:t>
      </w:r>
      <w:r>
        <w:rPr>
          <w:rFonts w:ascii="Times New Roman" w:cs="Times New Roman" w:eastAsia="Times New Roman" w:hAnsi="Times New Roman"/>
          <w:sz w:val="22"/>
          <w:szCs w:val="22"/>
          <w:i w:val="1"/>
          <w:iCs w:val="1"/>
          <w:color w:val="auto"/>
        </w:rPr>
        <w:t>Water and Wastewater Acquisitions</w:t>
      </w:r>
      <w:r>
        <w:rPr>
          <w:rFonts w:ascii="Times New Roman" w:cs="Times New Roman" w:eastAsia="Times New Roman" w:hAnsi="Times New Roman"/>
          <w:sz w:val="22"/>
          <w:szCs w:val="22"/>
          <w:color w:val="auto"/>
        </w:rPr>
        <w:t xml:space="preserve"> for further discussion.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During the nine-month period ended September 30, 2025, we invested $983,089 to improve our regulated water and natural gas</w:t>
      </w:r>
    </w:p>
    <w:p>
      <w:pPr>
        <w:spacing w:after="0" w:line="229" w:lineRule="auto"/>
        <w:rPr>
          <w:sz w:val="20"/>
          <w:szCs w:val="20"/>
          <w:color w:val="auto"/>
        </w:rPr>
      </w:pPr>
      <w:r>
        <w:rPr>
          <w:rFonts w:ascii="Times New Roman" w:cs="Times New Roman" w:eastAsia="Times New Roman" w:hAnsi="Times New Roman"/>
          <w:sz w:val="22"/>
          <w:szCs w:val="22"/>
          <w:color w:val="auto"/>
        </w:rPr>
        <w:t>infrastructure system and to enhance customer service. From 2025 through 2029, the Company plans to invest approximately</w:t>
      </w:r>
    </w:p>
    <w:p>
      <w:pPr>
        <w:spacing w:after="0" w:line="228" w:lineRule="auto"/>
        <w:rPr>
          <w:sz w:val="20"/>
          <w:szCs w:val="20"/>
          <w:color w:val="auto"/>
        </w:rPr>
      </w:pPr>
      <w:r>
        <w:rPr>
          <w:rFonts w:ascii="Times New Roman" w:cs="Times New Roman" w:eastAsia="Times New Roman" w:hAnsi="Times New Roman"/>
          <w:sz w:val="21"/>
          <w:szCs w:val="21"/>
          <w:color w:val="auto"/>
        </w:rPr>
        <w:t>$7,800,000 to improve water and natural gas systems and better serve customers through improved information technology. The</w:t>
      </w:r>
    </w:p>
    <w:p>
      <w:pPr>
        <w:spacing w:after="0" w:line="230" w:lineRule="auto"/>
        <w:rPr>
          <w:sz w:val="20"/>
          <w:szCs w:val="20"/>
          <w:color w:val="auto"/>
        </w:rPr>
      </w:pPr>
      <w:r>
        <w:rPr>
          <w:rFonts w:ascii="Times New Roman" w:cs="Times New Roman" w:eastAsia="Times New Roman" w:hAnsi="Times New Roman"/>
          <w:sz w:val="22"/>
          <w:szCs w:val="22"/>
          <w:color w:val="auto"/>
        </w:rPr>
        <w:t>capital investments made to rehabilitate and expand the infrastructure of the communities the Company serves are critical to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mission of safely and reliably delivering Earth’s most essential resources.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Convertible Note Purchase Agreement</w:t>
      </w:r>
    </w:p>
    <w:p>
      <w:pPr>
        <w:spacing w:after="0" w:line="215"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On August 27, 2025, the Company, through its wholly owned subsidiary, Aqua Infrastructure, entered into a convertible promissory note purchase agreement with IEP Hummingbird Energy LLC (“IEP”) whereby the Company agreed to purchase convertible notes (“Convertible Note Investment”) in the aggregate principal amount of $26,000 through January 2026. IEP, a subsidiary of International Electric Power III, LLC, shall use the proceeds for the development of a gas-fired plant to power a data center being developed Greene County, PA (the “Project”). The Convertible Note Investment bears zero interest, includes a fixed $16,500 loan fee concurrently payable to the Company at maturity with the principal amount of the notes on September 30, 2026, and contains conversion rights into equity at any time on or after maturity or upon certain triggering events, such as a project financial closing or equity financing, as defined in the agreement. The agreement also grants the Company the right of first refusal to certain water and gas business opportunities and additional equity kickers upon the occurrence of a financing event or change of control. The Convertible Note receivable is presented within Deferred charges and other assets in the accompanying condensed consolidated balance sheets. As of September 30, 2025, the fair value of the Convertible Note receivable amounts to $22,350. The Company’s involvement in this Project underscores its commitment to innovation, sustainability and regional economic development.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Multi-District Litigation Class Action Settlement</w:t>
      </w:r>
    </w:p>
    <w:p>
      <w:pPr>
        <w:spacing w:after="0" w:line="197"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2"/>
          <w:szCs w:val="22"/>
          <w:color w:val="auto"/>
        </w:rPr>
        <w:t>A number of the Company’s water and wastewater subsidiaries are parties to a multi-district litigation (the “MDL”) lawsuit in the United States District Court for the District of South Carolina against manufacturers of certain per- and polyfluoroalkyl substances or compounds (“PFAS”) for damages, contribution and reimbursement of costs incurred and continuing to be incurred to address the presence of such PFAS in public water supply systems. During the third quarter of 2025, the Company received $39,844 representing a portion of its share of the settlement reached with 3M, net of legal fees and settlement costs. The Company recorded $8,776 of the proceeds allocated to its North Carolina and Virginia water and wastewater subsidiaries as a regulatory liability, pursuant to regulatory orders issued by the public utility commissions from such states regarding the treatment of PFAS settlement costs. The remaining proceeds received that were allocated to the Company’s other water and wastewater subsidiaries totaling $31,068 were recorded within Deferred Credits and Other Non-current liabilities in the accompanying condensed consolidated balance sheet, pending recommendation or order from the respective public utility commissions on treatment of the amounts. The Company anticipates receiving additional settlement payments from the MDL lawsuit defendants.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Captive Insurance Subsidiary</w:t>
      </w:r>
    </w:p>
    <w:p>
      <w:pPr>
        <w:spacing w:after="0" w:line="210"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The Company expects insurance and claims expenses to continue to be volatile over the long term. In order to mitigate a portion of increased insurance costs, on October 1, 2025, the Company established a wholly-owned captive insurance company, Utility Insurance LLC, incorporated in the State of Utah, whose principal activity at this time is to provide insurance and reinsurance coverage for a portion of the Company’s general liability, property, workers compensation, auto liability, cyber and management liability risks.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7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7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Liquidity and Capital Resources</w:t>
      </w:r>
    </w:p>
    <w:p>
      <w:pPr>
        <w:spacing w:after="0" w:line="206"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2"/>
          <w:szCs w:val="22"/>
          <w:color w:val="auto"/>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condensed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commercial paper notes, long-term debt and equity will be adequate to provide sufficient working capital to maintain normal operations and to meet our financing requirements for at least the next twelve months.</w:t>
      </w:r>
    </w:p>
    <w:p>
      <w:pPr>
        <w:spacing w:after="0" w:line="18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Net cash flows from operating activities were $804,347 for the first nine months of 2025, compared to $622,510 for the first nine months of 2024. Operating cash flow increased by $181,837 primarily due to an increase in operating income in 2025 resulting from additional revenues from regulatory recoveries, and an increase in gas volumes delivered due to colder weather conditions during the first quarter of 2025 as compared to 2024.</w:t>
      </w:r>
    </w:p>
    <w:p>
      <w:pPr>
        <w:spacing w:after="0" w:line="19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1"/>
          <w:szCs w:val="21"/>
          <w:color w:val="auto"/>
        </w:rPr>
        <w:t>During the first nine months of 2025, we incurred $983,089 of capital expenditures, obtained net proceeds of $152,525 from our commercial paper program (the “CP Program”), issued long-term debt of $1,312,446, and repaid short-term debt and other long-term debt in aggregate of $1,236,664. The capital expenditures were related to new and replacement water, wastewater, and natural gas mains, improvements to treatment plants, tanks, hydrants, and service lines, well and booster improvements, information technology improvements, and other enhancements and improvements. Cash inflows from financing activities were higher during the first nine months of 2025 compared to 2024, primarily due to the issuance of common stock from the Company’s at-the-market equity sales program (“ATM”), partially offset by greater repayments of long-term debt.</w:t>
      </w:r>
    </w:p>
    <w:p>
      <w:pPr>
        <w:spacing w:after="0" w:line="194"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22"/>
          <w:szCs w:val="22"/>
          <w:color w:val="auto"/>
        </w:rPr>
        <w:t>On August 7, 2025, the Company issued $500,000 of senior notes, less expenses of $1,220, due on August 15, 2035 with an interest rate of 5.25%. The Company used the proceeds from the issuance of senior notes to repay a portion of its commercial paper borrowings and for general corporate purposes.</w:t>
      </w:r>
    </w:p>
    <w:p>
      <w:pPr>
        <w:spacing w:after="0" w:line="192" w:lineRule="exact"/>
        <w:rPr>
          <w:sz w:val="20"/>
          <w:szCs w:val="20"/>
          <w:color w:val="auto"/>
        </w:rPr>
      </w:pPr>
    </w:p>
    <w:p>
      <w:pPr>
        <w:jc w:val="both"/>
        <w:ind w:right="100"/>
        <w:spacing w:after="0" w:line="234" w:lineRule="auto"/>
        <w:rPr>
          <w:sz w:val="20"/>
          <w:szCs w:val="20"/>
          <w:color w:val="auto"/>
        </w:rPr>
      </w:pPr>
      <w:r>
        <w:rPr>
          <w:rFonts w:ascii="Times New Roman" w:cs="Times New Roman" w:eastAsia="Times New Roman" w:hAnsi="Times New Roman"/>
          <w:sz w:val="22"/>
          <w:szCs w:val="22"/>
          <w:color w:val="auto"/>
        </w:rPr>
        <w:t>On June 3, 2025, Aqua Pennsylvania and Peoples Natural Gas Companies amended and restated their respective $100,000 and $300,000 revolving credit agreements, extending the maturity date by another 364-day period. The funds borrowed under these revolving credit agreements are classified as loans payable and are used to provide working capital.</w:t>
      </w:r>
    </w:p>
    <w:p>
      <w:pPr>
        <w:spacing w:after="0" w:line="19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On May 29, 2025, the Company’s subsidiary, Aqua Pennsylvania, issued $100,000 in aggregate principal amount of first mortgage bonds. The bonds consisted of $75,000 of 5.38% first mortgage bonds due in 2035; and $25,000 of 5.63% first mortgage bonds due in 2040. The proceeds from these bonds were used to repay existing indebtedness and for general corporate purposes.</w:t>
      </w:r>
    </w:p>
    <w:p>
      <w:pPr>
        <w:spacing w:after="0" w:line="179" w:lineRule="exact"/>
        <w:rPr>
          <w:sz w:val="20"/>
          <w:szCs w:val="20"/>
          <w:color w:val="auto"/>
        </w:rPr>
      </w:pPr>
    </w:p>
    <w:p>
      <w:pPr>
        <w:ind w:right="440"/>
        <w:spacing w:after="0" w:line="235" w:lineRule="auto"/>
        <w:rPr>
          <w:sz w:val="20"/>
          <w:szCs w:val="20"/>
          <w:color w:val="auto"/>
        </w:rPr>
      </w:pPr>
      <w:r>
        <w:rPr>
          <w:rFonts w:ascii="Times New Roman" w:cs="Times New Roman" w:eastAsia="Times New Roman" w:hAnsi="Times New Roman"/>
          <w:sz w:val="22"/>
          <w:szCs w:val="22"/>
          <w:color w:val="auto"/>
        </w:rPr>
        <w:t>On March 19, 2025, the Company established the CP Program that allows it to issue, through private placement, short-term, unsecured commercial paper notes (the “CP Notes”) in an aggregate principal</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not to exceed $1,000,000. Maturities of CP Notes may vary, but cannot exceed 364 days from the date of</w:t>
      </w:r>
    </w:p>
    <w:p>
      <w:pPr>
        <w:spacing w:after="0" w:line="1"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22"/>
          <w:szCs w:val="22"/>
          <w:color w:val="auto"/>
        </w:rPr>
        <w:t>issue. Amounts available under the CP Program may be borrowed, repaid, and re-borrowed from time to time. The CP Program is reinforced by the Company’s revolving credit facility, as amounts undrawn under the Company’s revolving credit facility are available to repay the CP Notes. Notes issued under the CP Program rank equally with the Company’s present and future unsecured indebtedness. The Company utilizes the proceeds from the sale of the CP Notes for general corporate purposes, which may include working capital, capital expenditures, water and wastewater utility acquisitions, and repaying outstanding indebtedness, including under the Company’s revolving credit facility or the revolving credit facilities of its subsidiaries. As of September 30, 2025, outstanding borrowings under the Company’s CP Program were $152,982, net of unamortized discount on issuance of $18.</w:t>
      </w:r>
    </w:p>
    <w:p>
      <w:pPr>
        <w:spacing w:after="0" w:line="19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On August 13, 2024, the Company established an ATM, under which we may issue and sell shares of our common stock up to an aggregate offering price of $1,000,000 (“2024 ATM”). During the three months ended September 30, 2025, we issued 2,379,579 shares of common stock for net proceeds of approximately $91,500 under the 2024 ATM. During the nine months ended September 30, 2025, we issued 7,671,350 shares of common stock for net proceeds of approximately $300,100 under the 2024 ATM. As of September 30, 2025, the 2024 ATM had approximately $660,700 of equity available for issuance. The Company used the net proceeds from the sales of shares through the 2024 ATM for working capital, capital expenditures, water and wastewater utility acquisitions, and repaying a portion of outstanding indebtedness.</w:t>
      </w:r>
    </w:p>
    <w:p>
      <w:pPr>
        <w:spacing w:after="0" w:line="195"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2"/>
          <w:szCs w:val="22"/>
          <w:color w:val="auto"/>
        </w:rPr>
        <w:t>At September 30, 2025, we had $6,397 of cash and cash equivalents compared to $9,156 at December 31, 2024. During the first nine months of 2025, we used the proceeds from long-term debt, the proceeds from the issuance of commercial paper, and the proceeds from issuance of common stock, as well as internally generated funds, for capital expenditures, repayment of existing indebtedness, payment of dividends, and general corporate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September 30, 2025, our $1,000,000 unsecured revolving credit facility, which expires in December 2027, had $834,433</w:t>
      </w:r>
    </w:p>
    <w:p>
      <w:pPr>
        <w:spacing w:after="0" w:line="231" w:lineRule="auto"/>
        <w:rPr>
          <w:sz w:val="20"/>
          <w:szCs w:val="20"/>
          <w:color w:val="auto"/>
        </w:rPr>
      </w:pPr>
      <w:r>
        <w:rPr>
          <w:rFonts w:ascii="Times New Roman" w:cs="Times New Roman" w:eastAsia="Times New Roman" w:hAnsi="Times New Roman"/>
          <w:sz w:val="22"/>
          <w:szCs w:val="22"/>
          <w:color w:val="auto"/>
        </w:rPr>
        <w:t>available for borrowing (net of $153,000 of capacity designated for outstanding principal borrowings under our commercial</w:t>
      </w:r>
    </w:p>
    <w:p>
      <w:pPr>
        <w:spacing w:after="0" w:line="217" w:lineRule="auto"/>
        <w:rPr>
          <w:sz w:val="20"/>
          <w:szCs w:val="20"/>
          <w:color w:val="auto"/>
        </w:rPr>
      </w:pPr>
      <w:r>
        <w:rPr>
          <w:rFonts w:ascii="Times New Roman" w:cs="Times New Roman" w:eastAsia="Times New Roman" w:hAnsi="Times New Roman"/>
          <w:sz w:val="22"/>
          <w:szCs w:val="22"/>
          <w:color w:val="auto"/>
        </w:rPr>
        <w:t>paper program and $12,567 letter of credit usage). Additionally, at September 30, 2025, we had short-term lines of credit of</w:t>
      </w:r>
    </w:p>
    <w:p>
      <w:pPr>
        <w:spacing w:after="0" w:line="218" w:lineRule="auto"/>
        <w:rPr>
          <w:sz w:val="20"/>
          <w:szCs w:val="20"/>
          <w:color w:val="auto"/>
        </w:rPr>
      </w:pPr>
      <w:r>
        <w:rPr>
          <w:rFonts w:ascii="Times New Roman" w:cs="Times New Roman" w:eastAsia="Times New Roman" w:hAnsi="Times New Roman"/>
          <w:sz w:val="22"/>
          <w:szCs w:val="22"/>
          <w:color w:val="auto"/>
        </w:rPr>
        <w:t>$400,000, primarily used for working capital, of which $303,635 was available for borrowing. Although we believe we will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able to renew these facilities, there is no assurance that they will be renewed, or what the terms of any such renewal will be.</w:t>
      </w:r>
    </w:p>
    <w:p>
      <w:pPr>
        <w:spacing w:after="0" w:line="196"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1"/>
          <w:szCs w:val="21"/>
          <w:color w:val="auto"/>
        </w:rPr>
        <w:t>As of September 30, 2025, our credit ratings remained at investment grade levels. During the nine months ended September 30, 2025, S&amp;P Global Ratings (“S&amp;P”) reaffirmed the Company, Aqua Pennsylvania, and Peoples Natural Gas Companies’ A- long-term issuer credit rating with a stable outlook. As can be noted in their report, S&amp;P continues to assess our business risk profile</w:t>
      </w:r>
    </w:p>
    <w:p>
      <w:pPr>
        <w:spacing w:after="0" w:line="2" w:lineRule="exact"/>
        <w:rPr>
          <w:sz w:val="20"/>
          <w:szCs w:val="20"/>
          <w:color w:val="auto"/>
        </w:rPr>
      </w:pPr>
    </w:p>
    <w:p>
      <w:pPr>
        <w:ind w:right="280"/>
        <w:spacing w:after="0" w:line="222" w:lineRule="auto"/>
        <w:rPr>
          <w:sz w:val="20"/>
          <w:szCs w:val="20"/>
          <w:color w:val="auto"/>
        </w:rPr>
      </w:pPr>
      <w:r>
        <w:rPr>
          <w:rFonts w:ascii="Times New Roman" w:cs="Times New Roman" w:eastAsia="Times New Roman" w:hAnsi="Times New Roman"/>
          <w:sz w:val="22"/>
          <w:szCs w:val="22"/>
          <w:color w:val="auto"/>
        </w:rPr>
        <w:t>as excellent, considering our low-risk and rate-regulated water and gas distribution operations in credit-supportive regulatory environments, our geographic and regulatory diversity, our large and stable residential and commercial customer base, and our solid and reliable operations. On August 27, 2025, Moody's Investors Service ("Moody's") reaffirmed the Company's senior secured notes and Peoples Natural Gas companies’ senior unsecured notes’ Baa2 credit rating with negative outlook. The Company’s ability to</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maintain its credit rating depends, among other things, on adequate and timely rate relief, its ability to fund capital expenditures in a balanced manner using both debt and equity, and its ability to generate cash flow. A material downgrade of our credit rating may result in the imposition of additional financial and/or other covenants, impact the market prices of equity and debt securities, increase our borrowing costs, and adversely affect our liquidity, among other things. Management continues to enhance our regulatory practices to address regulatory lag and recover capital project costs and increases in operating costs efficiently and timely through various rate-making mechanisms.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Results of Operations</w:t>
      </w:r>
    </w:p>
    <w:p>
      <w:pPr>
        <w:spacing w:after="0" w:line="2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Consolidated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financial and operational highlights for the periods ended September 30, 2025 and 2024 are presented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00" w:type="dxa"/>
            <w:vAlign w:val="bottom"/>
          </w:tcPr>
          <w:p>
            <w:pPr>
              <w:spacing w:after="0"/>
              <w:rPr>
                <w:sz w:val="19"/>
                <w:szCs w:val="19"/>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476,971</w:t>
            </w:r>
          </w:p>
        </w:tc>
        <w:tc>
          <w:tcPr>
            <w:tcW w:w="3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435,255</w:t>
            </w: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1,775,504</w:t>
            </w:r>
          </w:p>
        </w:tc>
        <w:tc>
          <w:tcPr>
            <w:tcW w:w="32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1,481,730</w:t>
            </w: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153,088</w:t>
            </w:r>
          </w:p>
        </w:tc>
        <w:tc>
          <w:tcPr>
            <w:tcW w:w="3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144,368</w:t>
            </w:r>
          </w:p>
        </w:tc>
        <w:tc>
          <w:tcPr>
            <w:tcW w:w="26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439,422</w:t>
            </w:r>
          </w:p>
        </w:tc>
        <w:tc>
          <w:tcPr>
            <w:tcW w:w="32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423,780</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3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28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22,506</w:t>
            </w:r>
          </w:p>
        </w:tc>
        <w:tc>
          <w:tcPr>
            <w:tcW w:w="3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19,095</w:t>
            </w:r>
          </w:p>
        </w:tc>
        <w:tc>
          <w:tcPr>
            <w:tcW w:w="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263,882</w:t>
            </w:r>
          </w:p>
        </w:tc>
        <w:tc>
          <w:tcPr>
            <w:tcW w:w="32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182,498</w:t>
            </w: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92,077</w:t>
            </w:r>
          </w:p>
        </w:tc>
        <w:tc>
          <w:tcPr>
            <w:tcW w:w="3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69,402</w:t>
            </w:r>
          </w:p>
        </w:tc>
        <w:tc>
          <w:tcPr>
            <w:tcW w:w="26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483,693</w:t>
            </w:r>
          </w:p>
        </w:tc>
        <w:tc>
          <w:tcPr>
            <w:tcW w:w="32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410,559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28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14.9%</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22.4%</w:t>
            </w:r>
          </w:p>
        </w:tc>
        <w:tc>
          <w:tcPr>
            <w:tcW w:w="3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28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3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13.7%</w:t>
            </w: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19.3%</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27.2%</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27.7%</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18.6%</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September 30, 2025 compared with three months ended September 30, 2024</w:t>
      </w:r>
    </w:p>
    <w:p>
      <w:pPr>
        <w:spacing w:after="0" w:line="224"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Consolidated operating revenues increased by $41,716 or 9.6% as compared to the same period in 2024. Revenues from our Regulated Water, Regulated Natural Gas, and Other segments increased by $29,578, $11,719, and $419, respectively. A detailed discussion of the factors contributing to the changes in segment revenue is included below under the section, Segment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expense increased by $8,720 or 6.0%, primarily due to:</w:t>
      </w:r>
    </w:p>
    <w:p>
      <w:pPr>
        <w:spacing w:after="0" w:line="206" w:lineRule="exact"/>
        <w:rPr>
          <w:sz w:val="20"/>
          <w:szCs w:val="20"/>
          <w:color w:val="auto"/>
        </w:rPr>
      </w:pPr>
    </w:p>
    <w:p>
      <w:pPr>
        <w:ind w:left="340" w:right="600"/>
        <w:spacing w:after="0" w:line="235" w:lineRule="auto"/>
        <w:rPr>
          <w:sz w:val="20"/>
          <w:szCs w:val="20"/>
          <w:color w:val="auto"/>
        </w:rPr>
      </w:pPr>
      <w:r>
        <w:rPr>
          <w:rFonts w:ascii="Times New Roman" w:cs="Times New Roman" w:eastAsia="Times New Roman" w:hAnsi="Times New Roman"/>
          <w:sz w:val="22"/>
          <w:szCs w:val="22"/>
          <w:color w:val="auto"/>
        </w:rPr>
        <w:t>an increase in employee-related costs of $7,213, primarily resulting from annual merit increases, increases in employee medical costs, and higher stock-based compensation expense compared to prior period;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line="229" w:lineRule="auto"/>
        <w:rPr>
          <w:sz w:val="20"/>
          <w:szCs w:val="20"/>
          <w:color w:val="auto"/>
        </w:rPr>
      </w:pPr>
      <w:r>
        <w:rPr>
          <w:rFonts w:ascii="Times New Roman" w:cs="Times New Roman" w:eastAsia="Times New Roman" w:hAnsi="Times New Roman"/>
          <w:sz w:val="22"/>
          <w:szCs w:val="22"/>
          <w:color w:val="auto"/>
        </w:rPr>
        <w:t>an increase in bad debt expense of $4,208, of which $3,100 represents a favorable adjustment made during the third quarter of 2024 related to our Pennsylvania water customer assistance program;</w:t>
      </w:r>
    </w:p>
    <w:p>
      <w:pPr>
        <w:spacing w:after="0" w:line="217"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$2,437;</w:t>
      </w:r>
    </w:p>
    <w:p>
      <w:pPr>
        <w:ind w:left="340" w:right="400"/>
        <w:spacing w:after="0" w:line="224" w:lineRule="auto"/>
        <w:rPr>
          <w:sz w:val="20"/>
          <w:szCs w:val="20"/>
          <w:color w:val="auto"/>
        </w:rPr>
      </w:pPr>
      <w:r>
        <w:rPr>
          <w:rFonts w:ascii="Times New Roman" w:cs="Times New Roman" w:eastAsia="Times New Roman" w:hAnsi="Times New Roman"/>
          <w:sz w:val="22"/>
          <w:szCs w:val="22"/>
          <w:color w:val="auto"/>
        </w:rPr>
        <w:t>an increase in customer assistance surcharge costs of $589 in our Regulated Natural Gas segment, which generally has an offsetting amount in revenues; offset by</w:t>
      </w:r>
    </w:p>
    <w:p>
      <w:pPr>
        <w:ind w:left="340" w:right="6940"/>
        <w:spacing w:after="0" w:line="234" w:lineRule="auto"/>
        <w:rPr>
          <w:sz w:val="20"/>
          <w:szCs w:val="20"/>
          <w:color w:val="auto"/>
        </w:rPr>
      </w:pPr>
      <w:r>
        <w:rPr>
          <w:rFonts w:ascii="Times New Roman" w:cs="Times New Roman" w:eastAsia="Times New Roman" w:hAnsi="Times New Roman"/>
          <w:sz w:val="21"/>
          <w:szCs w:val="21"/>
          <w:color w:val="auto"/>
        </w:rPr>
        <w:t>a decrease in materials and supplies of $1,469 a decrease in legal expense of $1,397; and</w:t>
      </w:r>
    </w:p>
    <w:p>
      <w:pPr>
        <w:spacing w:after="0" w:line="1" w:lineRule="exact"/>
        <w:rPr>
          <w:sz w:val="20"/>
          <w:szCs w:val="20"/>
          <w:color w:val="auto"/>
        </w:rPr>
      </w:pPr>
    </w:p>
    <w:p>
      <w:pPr>
        <w:ind w:left="340" w:right="340"/>
        <w:spacing w:after="0" w:line="231" w:lineRule="auto"/>
        <w:rPr>
          <w:sz w:val="20"/>
          <w:szCs w:val="20"/>
          <w:color w:val="auto"/>
        </w:rPr>
      </w:pPr>
      <w:r>
        <w:rPr>
          <w:rFonts w:ascii="Times New Roman" w:cs="Times New Roman" w:eastAsia="Times New Roman" w:hAnsi="Times New Roman"/>
          <w:sz w:val="22"/>
          <w:szCs w:val="22"/>
          <w:color w:val="auto"/>
        </w:rPr>
        <w:t>a decrease in outside services and higher capitalization in the current period compared to the prior period in our Regulated Natural Gas segment.</w:t>
      </w:r>
    </w:p>
    <w:p>
      <w:pPr>
        <w:spacing w:after="0" w:line="178"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Purchased gas increased by $3,411 or 17.9%. Purchased gas represents the cost of gas sold by the Company, which for the regulated natural gas business has a corresponding offset in revenue. The increase is the result of an increase in the average cost of gas of $4,496 and lower gas usage of $1,085 during the third quarter of 2025.</w:t>
      </w:r>
    </w:p>
    <w:p>
      <w:pPr>
        <w:spacing w:after="0" w:line="17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Depreciation and amortization expense increased by $14,465 or 15.6% principally due to continued capital expenditures to expand and improve our utility facilities, our acquisitions of new water and wastewater utility systems, and the implementation of new depreciation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expense, net of interest income, increased by $5,738 or 7.6%. Interest expense, net of interest income, increased by</w:t>
      </w:r>
    </w:p>
    <w:p>
      <w:pPr>
        <w:spacing w:after="0" w:line="14" w:lineRule="exact"/>
        <w:rPr>
          <w:sz w:val="20"/>
          <w:szCs w:val="20"/>
          <w:color w:val="auto"/>
        </w:rPr>
      </w:pPr>
    </w:p>
    <w:p>
      <w:pPr>
        <w:jc w:val="both"/>
        <w:ind w:right="280"/>
        <w:spacing w:after="0" w:line="237" w:lineRule="auto"/>
        <w:rPr>
          <w:sz w:val="20"/>
          <w:szCs w:val="20"/>
          <w:color w:val="auto"/>
        </w:rPr>
      </w:pPr>
      <w:r>
        <w:rPr>
          <w:rFonts w:ascii="Times New Roman" w:cs="Times New Roman" w:eastAsia="Times New Roman" w:hAnsi="Times New Roman"/>
          <w:sz w:val="21"/>
          <w:szCs w:val="21"/>
          <w:color w:val="auto"/>
        </w:rPr>
        <w:t>$3,139 in our Regulated Water segment and by $4,076 in our Regulated Natural Gas segment. Interest expense, net of interest income, in Other relates to our corporate operations, and this decreased by $1,477 primarily due to our revolving credit facility borrowings being replaced by commercial paper issuances at a lower interest rate, during the third quarter of 2025.</w:t>
      </w:r>
    </w:p>
    <w:p>
      <w:pPr>
        <w:spacing w:after="0" w:line="192" w:lineRule="exact"/>
        <w:rPr>
          <w:sz w:val="20"/>
          <w:szCs w:val="20"/>
          <w:color w:val="auto"/>
        </w:rPr>
      </w:pPr>
    </w:p>
    <w:p>
      <w:pPr>
        <w:ind w:right="600"/>
        <w:spacing w:after="0" w:line="245" w:lineRule="auto"/>
        <w:rPr>
          <w:sz w:val="20"/>
          <w:szCs w:val="20"/>
          <w:color w:val="auto"/>
        </w:rPr>
      </w:pPr>
      <w:r>
        <w:rPr>
          <w:rFonts w:ascii="Times New Roman" w:cs="Times New Roman" w:eastAsia="Times New Roman" w:hAnsi="Times New Roman"/>
          <w:sz w:val="22"/>
          <w:szCs w:val="22"/>
          <w:color w:val="auto"/>
        </w:rPr>
        <w:t>Allowance for funds used during construction (“AFUDC”) increased by $587 or 10.5% primarily due to the increase in the average balance of utility plant construction work in progress, to which AFUDC is applied.</w:t>
      </w:r>
    </w:p>
    <w:p>
      <w:pPr>
        <w:spacing w:after="0" w:line="186" w:lineRule="exact"/>
        <w:rPr>
          <w:sz w:val="20"/>
          <w:szCs w:val="20"/>
          <w:color w:val="auto"/>
        </w:rPr>
      </w:pPr>
    </w:p>
    <w:p>
      <w:pPr>
        <w:ind w:right="420"/>
        <w:spacing w:after="0" w:line="241" w:lineRule="auto"/>
        <w:rPr>
          <w:sz w:val="20"/>
          <w:szCs w:val="20"/>
          <w:color w:val="auto"/>
        </w:rPr>
      </w:pPr>
      <w:r>
        <w:rPr>
          <w:rFonts w:ascii="Times New Roman" w:cs="Times New Roman" w:eastAsia="Times New Roman" w:hAnsi="Times New Roman"/>
          <w:sz w:val="21"/>
          <w:szCs w:val="21"/>
          <w:color w:val="auto"/>
        </w:rPr>
        <w:t>Our effective income tax rate was an expense of 4.5% and 18.6% in the third quarter of 2025 and 2024, respectively. The decrease in income tax expense in the third quarter of 2025 is primarily attributed to the net increase in tax benefit associated with the tax deduction for continued qualifying infrastructure investment, offset by decreases in both the state tax benefit and amortization of tax repairs surcredit in the Regulated Natural Gas segment based on a rate order received in September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Nine months ended September 30, 2025 compared with nine months ended September 30, 2024</w:t>
      </w:r>
    </w:p>
    <w:p>
      <w:pPr>
        <w:spacing w:after="0" w:line="210"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22"/>
          <w:szCs w:val="22"/>
          <w:color w:val="auto"/>
        </w:rPr>
        <w:t>Consolidated operating revenues increased by $293,774 or 19.8% as compared to the same period in 2024. Revenues from our Regulated Water, Regulated Natural Gas, and Other segments increased by $80,335, $207,318, and $6,121, respectively. A detailed discussion of the factors contributing to the changes in segment revenue is included below under the section, Segment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expense increased by $15,642 or 3.7%, primarily due to:</w:t>
      </w:r>
    </w:p>
    <w:p>
      <w:pPr>
        <w:spacing w:after="0" w:line="220" w:lineRule="exact"/>
        <w:rPr>
          <w:sz w:val="20"/>
          <w:szCs w:val="20"/>
          <w:color w:val="auto"/>
        </w:rPr>
      </w:pPr>
    </w:p>
    <w:p>
      <w:pPr>
        <w:ind w:left="340" w:right="180"/>
        <w:spacing w:after="0" w:line="229" w:lineRule="auto"/>
        <w:rPr>
          <w:sz w:val="20"/>
          <w:szCs w:val="20"/>
          <w:color w:val="auto"/>
        </w:rPr>
      </w:pPr>
      <w:r>
        <w:rPr>
          <w:rFonts w:ascii="Times New Roman" w:cs="Times New Roman" w:eastAsia="Times New Roman" w:hAnsi="Times New Roman"/>
          <w:sz w:val="22"/>
          <w:szCs w:val="22"/>
          <w:color w:val="auto"/>
        </w:rPr>
        <w:t>an increase in employee-related costs of $18,225, primarily resulting from annual merit increases, increases in overtime pay due to outages from extreme cold weather conditions during the first quarter of 2025, increases in employee medical costs, and higher stock-based compensation expense compared to prior period;</w:t>
      </w:r>
    </w:p>
    <w:p>
      <w:pPr>
        <w:spacing w:after="0" w:line="1" w:lineRule="exact"/>
        <w:rPr>
          <w:sz w:val="20"/>
          <w:szCs w:val="20"/>
          <w:color w:val="auto"/>
        </w:rPr>
      </w:pPr>
    </w:p>
    <w:p>
      <w:pPr>
        <w:ind w:left="340" w:right="340"/>
        <w:spacing w:after="0" w:line="217" w:lineRule="auto"/>
        <w:rPr>
          <w:sz w:val="20"/>
          <w:szCs w:val="20"/>
          <w:color w:val="auto"/>
        </w:rPr>
      </w:pPr>
      <w:r>
        <w:rPr>
          <w:rFonts w:ascii="Times New Roman" w:cs="Times New Roman" w:eastAsia="Times New Roman" w:hAnsi="Times New Roman"/>
          <w:sz w:val="22"/>
          <w:szCs w:val="22"/>
          <w:color w:val="auto"/>
        </w:rPr>
        <w:t>an increase in customer assistance surcharge costs of 9,839 in our Regulated Natural Gas segment, which generally has an offsetting amount in revenues; and</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$5,497; offset by</w:t>
      </w:r>
    </w:p>
    <w:p>
      <w:pPr>
        <w:ind w:left="340" w:right="200"/>
        <w:spacing w:after="0" w:line="217" w:lineRule="auto"/>
        <w:rPr>
          <w:sz w:val="20"/>
          <w:szCs w:val="20"/>
          <w:color w:val="auto"/>
        </w:rPr>
      </w:pPr>
      <w:r>
        <w:rPr>
          <w:rFonts w:ascii="Times New Roman" w:cs="Times New Roman" w:eastAsia="Times New Roman" w:hAnsi="Times New Roman"/>
          <w:sz w:val="22"/>
          <w:szCs w:val="22"/>
          <w:color w:val="auto"/>
        </w:rPr>
        <w:t>a decrease in insurance expense of $3,652, primarily due to an insurance recovery of $5,602 during the first quarter of 2025 for a portion of expenses incurred by the Company associated with remediating an advisory for some of our Illinois water utility customers;</w:t>
      </w:r>
    </w:p>
    <w:p>
      <w:pPr>
        <w:spacing w:after="0" w:line="2" w:lineRule="exact"/>
        <w:rPr>
          <w:sz w:val="20"/>
          <w:szCs w:val="20"/>
          <w:color w:val="auto"/>
        </w:rPr>
      </w:pPr>
    </w:p>
    <w:p>
      <w:pPr>
        <w:ind w:left="340" w:right="60"/>
        <w:spacing w:after="0" w:line="224" w:lineRule="auto"/>
        <w:rPr>
          <w:sz w:val="20"/>
          <w:szCs w:val="20"/>
          <w:color w:val="auto"/>
        </w:rPr>
      </w:pPr>
      <w:r>
        <w:rPr>
          <w:rFonts w:ascii="Times New Roman" w:cs="Times New Roman" w:eastAsia="Times New Roman" w:hAnsi="Times New Roman"/>
          <w:sz w:val="22"/>
          <w:szCs w:val="22"/>
          <w:color w:val="auto"/>
        </w:rPr>
        <w:t>a decrease in bad debt expense of $1,015, of which $5,889 relates to a favorable regulatory asset adjustment in our Regulated Water segment in the first quarter of 2025;</w:t>
      </w:r>
    </w:p>
    <w:p>
      <w:pPr>
        <w:spacing w:after="0" w:line="217" w:lineRule="auto"/>
        <w:rPr>
          <w:sz w:val="20"/>
          <w:szCs w:val="20"/>
          <w:color w:val="auto"/>
        </w:rPr>
      </w:pPr>
      <w:r>
        <w:rPr>
          <w:rFonts w:ascii="Times New Roman" w:cs="Times New Roman" w:eastAsia="Times New Roman" w:hAnsi="Times New Roman"/>
          <w:sz w:val="22"/>
          <w:szCs w:val="22"/>
          <w:color w:val="auto"/>
        </w:rPr>
        <w:t>a decrease in materials and supplies of $2,431; and</w:t>
      </w:r>
    </w:p>
    <w:p>
      <w:pPr>
        <w:ind w:left="340" w:right="60"/>
        <w:spacing w:after="0" w:line="231" w:lineRule="auto"/>
        <w:rPr>
          <w:sz w:val="20"/>
          <w:szCs w:val="20"/>
          <w:color w:val="auto"/>
        </w:rPr>
      </w:pPr>
      <w:r>
        <w:rPr>
          <w:rFonts w:ascii="Times New Roman" w:cs="Times New Roman" w:eastAsia="Times New Roman" w:hAnsi="Times New Roman"/>
          <w:sz w:val="22"/>
          <w:szCs w:val="22"/>
          <w:color w:val="auto"/>
        </w:rPr>
        <w:t>an increase in capitalization in our Regulated Natural Gas segment of $7,814 in the current period as compared with the prior period due to higher capital spend and increasing pool of eligible capitalizable costs.</w:t>
      </w:r>
    </w:p>
    <w:p>
      <w:pPr>
        <w:spacing w:after="0" w:line="191"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Purchased gas increased by $81,384 or 44.6%. Purchased gas represents the cost of gas sold by the Company, which for the regulated natural gas business has a corresponding offset in revenue. The increase is the result of an increase in the average cost of gas of $50,375 and higher gas usage of $31,395 during the first nine months of 2025, offset by a decrease of $386 from the sale of our interest in three non-utility local microgrid and distributed energy projects in January 2024.</w:t>
      </w:r>
    </w:p>
    <w:p>
      <w:pPr>
        <w:spacing w:after="0" w:line="17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Depreciation and amortization expense increased by $36,911 or 13.5% principally due to continued capital expenditures to expand and improve our utility facilities, our acquisitions of new water and wastewater utility systems, and the implementation of new depreciation rates.</w:t>
      </w:r>
    </w:p>
    <w:p>
      <w:pPr>
        <w:spacing w:after="0" w:line="165" w:lineRule="exact"/>
        <w:rPr>
          <w:sz w:val="20"/>
          <w:szCs w:val="20"/>
          <w:color w:val="auto"/>
        </w:rPr>
      </w:pPr>
    </w:p>
    <w:p>
      <w:pPr>
        <w:jc w:val="both"/>
        <w:ind w:right="260"/>
        <w:spacing w:after="0" w:line="238" w:lineRule="auto"/>
        <w:rPr>
          <w:sz w:val="20"/>
          <w:szCs w:val="20"/>
          <w:color w:val="auto"/>
        </w:rPr>
      </w:pPr>
      <w:r>
        <w:rPr>
          <w:rFonts w:ascii="Times New Roman" w:cs="Times New Roman" w:eastAsia="Times New Roman" w:hAnsi="Times New Roman"/>
          <w:sz w:val="22"/>
          <w:szCs w:val="22"/>
          <w:color w:val="auto"/>
        </w:rPr>
        <w:t>Taxes other than income taxes decreased by $3,068 or 4.3% during the nine months ended September 30, 2025 as compared to the prior period largely due to a favorable adjustment on sales and use tax accruals of our Regulated Natural Gas segment as a result of the closure of a sales and use tax audit during the second quarter of 2025.</w:t>
      </w:r>
    </w:p>
    <w:p>
      <w:pPr>
        <w:spacing w:after="0" w:line="179"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Interest expense, net of interest income, increased by $22,029 or 10.0%. Interest expense, net of interest income, increased by $7,494 in our Regulated Water segment and by $9,824 in our Regulated Natural Gas segment. Interest expense, net of interest income, in Other relates to our corporate operations, and this increased by $4,711 primarily due to increased borrowings from the Company’s revolving credit facility and commercial paper issuances during the first nine months of 2025 as compared to the prior period.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jc w:val="both"/>
        <w:ind w:right="440"/>
        <w:spacing w:after="0" w:line="282" w:lineRule="auto"/>
        <w:rPr>
          <w:sz w:val="20"/>
          <w:szCs w:val="20"/>
          <w:color w:val="auto"/>
        </w:rPr>
      </w:pPr>
      <w:r>
        <w:rPr>
          <w:rFonts w:ascii="Times New Roman" w:cs="Times New Roman" w:eastAsia="Times New Roman" w:hAnsi="Times New Roman"/>
          <w:sz w:val="21"/>
          <w:szCs w:val="21"/>
          <w:color w:val="auto"/>
        </w:rPr>
        <w:t>Allowance for funds used during construction (“AFUDC”) increased by $3,536 or 22.8% primarily due to the increase in the average balance of utility plant construction work in progress, to which AFUDC is applied, in our Regulated Water segment.</w:t>
      </w:r>
    </w:p>
    <w:p>
      <w:pPr>
        <w:spacing w:after="0" w:line="13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For the nine months ended September 30, 2025 and 2024, gain on sale of other assets totaled $669 and $92,067, respectively. During the first quarter of 2024, the Company completed the sale of its interest in three non-utility local microgrid and distributed energy projects and recognized a gain of $91,236 in its Regulated Natural Gas segment.</w:t>
      </w:r>
    </w:p>
    <w:p>
      <w:pPr>
        <w:spacing w:after="0" w:line="179"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Our effective income tax rate was a benefit of 2.5% and an expense of 1.7% in the first nine months of 2025 and 2024, respectively. The increase in income tax benefit during the first nine months of 2025 is attributed to the release of $22,575 of income tax reserve regulatory liability in the Regulated Water segment based on the rate order received by Aqua Pennsylvania in February 2025, offset by the decreases in both the state tax benefit and amortization of tax repairs surcredit in the Regulated Natural Gas segment based on a rate order received in September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Segment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Water Segment</w:t>
      </w:r>
    </w:p>
    <w:p>
      <w:pPr>
        <w:spacing w:after="0" w:line="224"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Water segment for the periods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30, 2025 and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364,055</w:t>
            </w:r>
          </w:p>
        </w:tc>
        <w:tc>
          <w:tcPr>
            <w:tcW w:w="36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334,477</w:t>
            </w: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997,185</w:t>
            </w:r>
          </w:p>
        </w:tc>
        <w:tc>
          <w:tcPr>
            <w:tcW w:w="36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916,850</w:t>
            </w: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105,681</w:t>
            </w:r>
          </w:p>
        </w:tc>
        <w:tc>
          <w:tcPr>
            <w:tcW w:w="360" w:type="dxa"/>
            <w:vAlign w:val="bottom"/>
            <w:tcBorders>
              <w:bottom w:val="single" w:sz="8" w:color="auto"/>
            </w:tcBorders>
          </w:tcPr>
          <w:p>
            <w:pPr>
              <w:jc w:val="right"/>
              <w:ind w:right="1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96,369</w:t>
            </w:r>
          </w:p>
        </w:tc>
        <w:tc>
          <w:tcPr>
            <w:tcW w:w="26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295,248</w:t>
            </w:r>
          </w:p>
        </w:tc>
        <w:tc>
          <w:tcPr>
            <w:tcW w:w="360" w:type="dxa"/>
            <w:vAlign w:val="bottom"/>
            <w:tcBorders>
              <w:bottom w:val="single" w:sz="8" w:color="auto"/>
            </w:tcBorders>
          </w:tcPr>
          <w:p>
            <w:pPr>
              <w:jc w:val="right"/>
              <w:ind w:right="1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282,627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Segment net income</w:t>
            </w:r>
          </w:p>
        </w:tc>
        <w:tc>
          <w:tcPr>
            <w:tcW w:w="28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122,014</w:t>
            </w:r>
          </w:p>
        </w:tc>
        <w:tc>
          <w:tcPr>
            <w:tcW w:w="360" w:type="dxa"/>
            <w:vAlign w:val="bottom"/>
            <w:tcBorders>
              <w:bottom w:val="single" w:sz="8" w:color="auto"/>
            </w:tcBorders>
            <w:shd w:val="clear" w:color="auto" w:fill="CCEEFF"/>
          </w:tcPr>
          <w:p>
            <w:pPr>
              <w:jc w:val="right"/>
              <w:ind w:right="1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112,275</w:t>
            </w:r>
          </w:p>
        </w:tc>
        <w:tc>
          <w:tcPr>
            <w:tcW w:w="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330,416</w:t>
            </w:r>
          </w:p>
        </w:tc>
        <w:tc>
          <w:tcPr>
            <w:tcW w:w="360" w:type="dxa"/>
            <w:vAlign w:val="bottom"/>
            <w:tcBorders>
              <w:bottom w:val="single" w:sz="8" w:color="auto"/>
            </w:tcBorders>
            <w:shd w:val="clear" w:color="auto" w:fill="CCEEFF"/>
          </w:tcPr>
          <w:p>
            <w:pPr>
              <w:jc w:val="right"/>
              <w:ind w:right="1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263,859</w:t>
            </w: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29.0%</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28.8%</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29.6%</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17.9%</w:t>
            </w:r>
          </w:p>
        </w:tc>
        <w:tc>
          <w:tcPr>
            <w:tcW w:w="3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3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11.2%</w:t>
            </w:r>
          </w:p>
        </w:tc>
        <w:tc>
          <w:tcPr>
            <w:tcW w:w="3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Segment net income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33.5%</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33.6%</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33.1%</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13.6%</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September 30, 2025 compared with three months ended September 30, 2024</w:t>
      </w:r>
    </w:p>
    <w:p>
      <w:pPr>
        <w:spacing w:after="0" w:line="22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Revenues from our Regulated Water segment increased by $29,578 or 8.8% for the third quarter of 2025 as compared to the same period in 2024, mainly due to the following: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water and wastewater rates of $27,926;</w:t>
      </w:r>
    </w:p>
    <w:p>
      <w:pPr>
        <w:ind w:left="340" w:right="440"/>
        <w:spacing w:after="0" w:line="224" w:lineRule="auto"/>
        <w:rPr>
          <w:sz w:val="20"/>
          <w:szCs w:val="20"/>
          <w:color w:val="auto"/>
        </w:rPr>
      </w:pPr>
      <w:r>
        <w:rPr>
          <w:rFonts w:ascii="Times New Roman" w:cs="Times New Roman" w:eastAsia="Times New Roman" w:hAnsi="Times New Roman"/>
          <w:sz w:val="22"/>
          <w:szCs w:val="22"/>
          <w:color w:val="auto"/>
        </w:rPr>
        <w:t>additional water and wastewater revenues of $1,370 associated with a larger customer base due to utility acquisitions and organic growth; and</w:t>
      </w:r>
    </w:p>
    <w:p>
      <w:pPr>
        <w:spacing w:after="0"/>
        <w:rPr>
          <w:sz w:val="20"/>
          <w:szCs w:val="20"/>
          <w:color w:val="auto"/>
        </w:rPr>
      </w:pPr>
      <w:r>
        <w:rPr>
          <w:rFonts w:ascii="Times New Roman" w:cs="Times New Roman" w:eastAsia="Times New Roman" w:hAnsi="Times New Roman"/>
          <w:sz w:val="22"/>
          <w:szCs w:val="22"/>
          <w:color w:val="auto"/>
        </w:rPr>
        <w:t>an increase in volume consumption of $288.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and maintenance expense increased by $9,312 or 9.7% primarily due to the following: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employee related costs of $2,705;</w:t>
      </w:r>
    </w:p>
    <w:p>
      <w:pPr>
        <w:ind w:left="340"/>
        <w:spacing w:after="0" w:line="217" w:lineRule="auto"/>
        <w:rPr>
          <w:sz w:val="20"/>
          <w:szCs w:val="20"/>
          <w:color w:val="auto"/>
        </w:rPr>
      </w:pPr>
      <w:r>
        <w:rPr>
          <w:rFonts w:ascii="Times New Roman" w:cs="Times New Roman" w:eastAsia="Times New Roman" w:hAnsi="Times New Roman"/>
          <w:sz w:val="22"/>
          <w:szCs w:val="22"/>
          <w:color w:val="auto"/>
        </w:rPr>
        <w:t>an increase in bad debt expense of $3,508, of which $3,100 represents a favorable adjustment made during the third quarter of 2024 related to our Pennsylvania water customer assistance program;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production costs for water and wastewater operations of $2,437.</w:t>
      </w:r>
    </w:p>
    <w:p>
      <w:pPr>
        <w:spacing w:after="0" w:line="196"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Depreciation and amortization increased by $7,318 or 12.6% primarily due to continued capital investment to expand and improve our utility facilities, the implementation of new depreciation rates in connection with recently completed rate cases, and our acquisitions of new utility systems.</w:t>
      </w:r>
    </w:p>
    <w:p>
      <w:pPr>
        <w:spacing w:after="0" w:line="192" w:lineRule="exact"/>
        <w:rPr>
          <w:sz w:val="20"/>
          <w:szCs w:val="20"/>
          <w:color w:val="auto"/>
        </w:rPr>
      </w:pPr>
    </w:p>
    <w:p>
      <w:pPr>
        <w:ind w:right="500"/>
        <w:spacing w:after="0" w:line="245" w:lineRule="auto"/>
        <w:rPr>
          <w:sz w:val="20"/>
          <w:szCs w:val="20"/>
          <w:color w:val="auto"/>
        </w:rPr>
      </w:pPr>
      <w:r>
        <w:rPr>
          <w:rFonts w:ascii="Times New Roman" w:cs="Times New Roman" w:eastAsia="Times New Roman" w:hAnsi="Times New Roman"/>
          <w:sz w:val="22"/>
          <w:szCs w:val="22"/>
          <w:color w:val="auto"/>
        </w:rPr>
        <w:t>Interest expense, net of interest income, increased by $3,139 or 8.9% for the quarter primarily due to higher push down debt borrowings and operating company debt issuances for the Regulated Water segment.</w:t>
      </w:r>
    </w:p>
    <w:p>
      <w:pPr>
        <w:spacing w:after="0" w:line="186" w:lineRule="exact"/>
        <w:rPr>
          <w:sz w:val="20"/>
          <w:szCs w:val="20"/>
          <w:color w:val="auto"/>
        </w:rPr>
      </w:pPr>
    </w:p>
    <w:p>
      <w:pPr>
        <w:ind w:right="720"/>
        <w:spacing w:after="0" w:line="245" w:lineRule="auto"/>
        <w:rPr>
          <w:sz w:val="20"/>
          <w:szCs w:val="20"/>
          <w:color w:val="auto"/>
        </w:rPr>
      </w:pPr>
      <w:r>
        <w:rPr>
          <w:rFonts w:ascii="Times New Roman" w:cs="Times New Roman" w:eastAsia="Times New Roman" w:hAnsi="Times New Roman"/>
          <w:sz w:val="22"/>
          <w:szCs w:val="22"/>
          <w:color w:val="auto"/>
        </w:rPr>
        <w:t>Allowance for funds used during construction (“AFUDC”) increased by $200 or 4.6% primarily due to the increase in the average balance of utility plant construction work in progress, to which AFUDC is applied.</w:t>
      </w:r>
    </w:p>
    <w:p>
      <w:pPr>
        <w:spacing w:after="0" w:line="186"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Our effective income tax rate for our Regulated Water Segment was an expense of 13.6% and 14.7% in the third quarter of 2025 and 2024, respectively. The decrease in the effective tax rate is primarily the result of increase in the income tax benefit associated with the tax deduction for qualifying infrastructure.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Nine months ended September 30, 2025 compared with nine months ended September 30, 2024</w:t>
      </w:r>
    </w:p>
    <w:p>
      <w:pPr>
        <w:spacing w:after="0" w:line="21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Revenues from our Regulated Water segment increased by $80,335 or 8.8% for the first nine months of 2025 as compared to the same period in 2024, mainly due to the following: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water and wastewater rates of $80,835;</w:t>
      </w:r>
    </w:p>
    <w:p>
      <w:pPr>
        <w:ind w:left="340" w:right="440"/>
        <w:spacing w:after="0" w:line="224" w:lineRule="auto"/>
        <w:rPr>
          <w:sz w:val="20"/>
          <w:szCs w:val="20"/>
          <w:color w:val="auto"/>
        </w:rPr>
      </w:pPr>
      <w:r>
        <w:rPr>
          <w:rFonts w:ascii="Times New Roman" w:cs="Times New Roman" w:eastAsia="Times New Roman" w:hAnsi="Times New Roman"/>
          <w:sz w:val="22"/>
          <w:szCs w:val="22"/>
          <w:color w:val="auto"/>
        </w:rPr>
        <w:t>additional water and wastewater revenues of $4,924 associated with a larger customer base due to utility acquisitions and organic growth; offset by</w:t>
      </w:r>
    </w:p>
    <w:p>
      <w:pPr>
        <w:spacing w:after="0"/>
        <w:rPr>
          <w:sz w:val="20"/>
          <w:szCs w:val="20"/>
          <w:color w:val="auto"/>
        </w:rPr>
      </w:pPr>
      <w:r>
        <w:rPr>
          <w:rFonts w:ascii="Times New Roman" w:cs="Times New Roman" w:eastAsia="Times New Roman" w:hAnsi="Times New Roman"/>
          <w:sz w:val="22"/>
          <w:szCs w:val="22"/>
          <w:color w:val="auto"/>
        </w:rPr>
        <w:t>a decrease in volume consumption of $5,343.</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3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and maintenance expense increased by $12,621 or 4.5% primarily due to the following: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employee related costs of $5,153;</w:t>
      </w:r>
    </w:p>
    <w:p>
      <w:pPr>
        <w:ind w:left="340" w:right="3720"/>
        <w:spacing w:after="0" w:line="224"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$5,497; and an increase in management fees of $3,492; offset by</w:t>
      </w:r>
    </w:p>
    <w:p>
      <w:pPr>
        <w:ind w:left="340" w:right="200"/>
        <w:spacing w:after="0" w:line="231" w:lineRule="auto"/>
        <w:rPr>
          <w:sz w:val="20"/>
          <w:szCs w:val="20"/>
          <w:color w:val="auto"/>
        </w:rPr>
      </w:pPr>
      <w:r>
        <w:rPr>
          <w:rFonts w:ascii="Times New Roman" w:cs="Times New Roman" w:eastAsia="Times New Roman" w:hAnsi="Times New Roman"/>
          <w:sz w:val="22"/>
          <w:szCs w:val="22"/>
          <w:color w:val="auto"/>
        </w:rPr>
        <w:t>a decrease in bad debt expense of $2,514, of which $5,889 relates to a favorable regulatory asset adjustment during the first quarter of 2025.</w:t>
      </w:r>
    </w:p>
    <w:p>
      <w:pPr>
        <w:spacing w:after="0" w:line="191" w:lineRule="exact"/>
        <w:rPr>
          <w:sz w:val="20"/>
          <w:szCs w:val="20"/>
          <w:color w:val="auto"/>
        </w:rPr>
      </w:pPr>
    </w:p>
    <w:p>
      <w:pPr>
        <w:ind w:right="580"/>
        <w:spacing w:after="0" w:line="245" w:lineRule="auto"/>
        <w:rPr>
          <w:sz w:val="20"/>
          <w:szCs w:val="20"/>
          <w:color w:val="auto"/>
        </w:rPr>
      </w:pPr>
      <w:r>
        <w:rPr>
          <w:rFonts w:ascii="Times New Roman" w:cs="Times New Roman" w:eastAsia="Times New Roman" w:hAnsi="Times New Roman"/>
          <w:sz w:val="22"/>
          <w:szCs w:val="22"/>
          <w:color w:val="auto"/>
        </w:rPr>
        <w:t>Depreciation and amortization increased by $17,859 or 10.3% primarily due to continued capital investment to expand and improve our utility facilities, a change in depreciation rates, and our acquisitions of new utility systems.</w:t>
      </w:r>
    </w:p>
    <w:p>
      <w:pPr>
        <w:spacing w:after="0" w:line="17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Interest expense, net of interest income, increased by $7,494 or 7.2% primarily due to higher push down debt borrowings and operating company debt issuances for the Regulated Water segment.</w:t>
      </w:r>
    </w:p>
    <w:p>
      <w:pPr>
        <w:spacing w:after="0" w:line="158"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22"/>
          <w:szCs w:val="22"/>
          <w:color w:val="auto"/>
        </w:rPr>
        <w:t>Allowance for funds used during construction (“AFUDC”) increased by $2,904 or 24.2% primarily due to the increase in the average balance of utility plant construction work in progress, to which AFUDC is applied.</w:t>
      </w:r>
    </w:p>
    <w:p>
      <w:pPr>
        <w:spacing w:after="0" w:line="186" w:lineRule="exact"/>
        <w:rPr>
          <w:sz w:val="20"/>
          <w:szCs w:val="20"/>
          <w:color w:val="auto"/>
        </w:rPr>
      </w:pPr>
    </w:p>
    <w:p>
      <w:pPr>
        <w:jc w:val="both"/>
        <w:ind w:right="300"/>
        <w:spacing w:after="0" w:line="234" w:lineRule="auto"/>
        <w:rPr>
          <w:sz w:val="20"/>
          <w:szCs w:val="20"/>
          <w:color w:val="auto"/>
        </w:rPr>
      </w:pPr>
      <w:r>
        <w:rPr>
          <w:rFonts w:ascii="Times New Roman" w:cs="Times New Roman" w:eastAsia="Times New Roman" w:hAnsi="Times New Roman"/>
          <w:sz w:val="22"/>
          <w:szCs w:val="22"/>
          <w:color w:val="auto"/>
        </w:rPr>
        <w:t>Our effective income tax rate for our Regulated Water Segment was an expense of 9.0% and 17.1% in the first nine months of 2025 and 2024, respectively. The decrease in the effective tax rate is largely attributed to the release of $22,575 of income tax reserve regulatory liability based on the rate order received by Aqua Pennsylvania in February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Natural Gas Segment</w:t>
      </w:r>
    </w:p>
    <w:p>
      <w:pPr>
        <w:spacing w:after="0" w:line="22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 A weather normalization adjustment (“WNA”) mechanism is in place for our natural gas customers served in Kentucky, and, beginning in October 2024, for our natural gas customers in Pennsylvania. The WNA mechanism serves to minimize the effects of weather on the Company’s ability to collect revenues to cover operating expenses for its residential and small and medium commercial natural gas customers. The WNA mechanism adjusts revenues earned for the variance between actual and normal weather and can have either positive (warmer than normal) or negative (colder than normal) effects on revenues.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Natural Gas segment, for the periods ended September 30, 2025 and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00" w:type="dxa"/>
            <w:vAlign w:val="bottom"/>
          </w:tcPr>
          <w:p>
            <w:pPr>
              <w:spacing w:after="0"/>
              <w:rPr>
                <w:sz w:val="19"/>
                <w:szCs w:val="19"/>
                <w:color w:val="auto"/>
              </w:rPr>
            </w:pPr>
          </w:p>
        </w:tc>
        <w:tc>
          <w:tcPr>
            <w:tcW w:w="30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108,450</w:t>
            </w:r>
          </w:p>
        </w:tc>
        <w:tc>
          <w:tcPr>
            <w:tcW w:w="3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96,731</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756,568</w:t>
            </w:r>
          </w:p>
        </w:tc>
        <w:tc>
          <w:tcPr>
            <w:tcW w:w="3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549,250</w:t>
            </w: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47,453</w:t>
            </w:r>
          </w:p>
        </w:tc>
        <w:tc>
          <w:tcPr>
            <w:tcW w:w="3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49,002</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152,914</w:t>
            </w:r>
          </w:p>
        </w:tc>
        <w:tc>
          <w:tcPr>
            <w:tcW w:w="3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144,628</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3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28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19,965</w:t>
            </w:r>
          </w:p>
        </w:tc>
        <w:tc>
          <w:tcPr>
            <w:tcW w:w="3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17,603</w:t>
            </w:r>
          </w:p>
        </w:tc>
        <w:tc>
          <w:tcPr>
            <w:tcW w:w="2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250,456</w:t>
            </w:r>
          </w:p>
        </w:tc>
        <w:tc>
          <w:tcPr>
            <w:tcW w:w="3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175,825</w:t>
            </w: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income (loss)</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0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(24,831)</w:t>
            </w:r>
          </w:p>
        </w:tc>
        <w:tc>
          <w:tcPr>
            <w:tcW w:w="3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(30,660)</w:t>
            </w:r>
          </w:p>
        </w:tc>
        <w:tc>
          <w:tcPr>
            <w:tcW w:w="26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182,190</w:t>
            </w:r>
          </w:p>
        </w:tc>
        <w:tc>
          <w:tcPr>
            <w:tcW w:w="3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177,563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1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89"/>
        </w:trPr>
        <w:tc>
          <w:tcPr>
            <w:tcW w:w="5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9"/>
        </w:trPr>
        <w:tc>
          <w:tcPr>
            <w:tcW w:w="52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154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43.8%</w:t>
            </w:r>
          </w:p>
        </w:tc>
        <w:tc>
          <w:tcPr>
            <w:tcW w:w="150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50.7%</w:t>
            </w:r>
          </w:p>
        </w:tc>
        <w:tc>
          <w:tcPr>
            <w:tcW w:w="148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8"/>
              </w:rPr>
              <w:t>20.2%</w:t>
            </w:r>
          </w:p>
        </w:tc>
        <w:tc>
          <w:tcPr>
            <w:tcW w:w="150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color w:val="auto"/>
              </w:rPr>
              <w:t>26.3%</w:t>
            </w:r>
          </w:p>
        </w:tc>
      </w:tr>
      <w:tr>
        <w:trPr>
          <w:trHeight w:val="189"/>
        </w:trPr>
        <w:tc>
          <w:tcPr>
            <w:tcW w:w="52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1540" w:type="dxa"/>
            <w:vAlign w:val="bottom"/>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18.4%</w:t>
            </w:r>
          </w:p>
        </w:tc>
        <w:tc>
          <w:tcPr>
            <w:tcW w:w="1500" w:type="dxa"/>
            <w:vAlign w:val="bottom"/>
            <w:shd w:val="clear" w:color="auto" w:fill="CCEEFF"/>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18.2%</w:t>
            </w:r>
          </w:p>
        </w:tc>
        <w:tc>
          <w:tcPr>
            <w:tcW w:w="1480" w:type="dxa"/>
            <w:vAlign w:val="bottom"/>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8"/>
              </w:rPr>
              <w:t>33.1%</w:t>
            </w:r>
          </w:p>
        </w:tc>
        <w:tc>
          <w:tcPr>
            <w:tcW w:w="1500" w:type="dxa"/>
            <w:vAlign w:val="bottom"/>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auto"/>
              </w:rPr>
              <w:t>32.0%</w:t>
            </w:r>
          </w:p>
        </w:tc>
      </w:tr>
      <w:tr>
        <w:trPr>
          <w:trHeight w:val="189"/>
        </w:trPr>
        <w:tc>
          <w:tcPr>
            <w:tcW w:w="52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38.2%</w:t>
            </w:r>
          </w:p>
        </w:tc>
        <w:tc>
          <w:tcPr>
            <w:tcW w:w="150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35.5%</w:t>
            </w:r>
          </w:p>
        </w:tc>
        <w:tc>
          <w:tcPr>
            <w:tcW w:w="148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8"/>
              </w:rPr>
              <w:t>15.6%</w:t>
            </w:r>
          </w:p>
        </w:tc>
        <w:tc>
          <w:tcPr>
            <w:tcW w:w="150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color w:val="auto"/>
              </w:rPr>
              <w:t>18.1%</w:t>
            </w:r>
          </w:p>
        </w:tc>
      </w:tr>
      <w:tr>
        <w:trPr>
          <w:trHeight w:val="189"/>
        </w:trPr>
        <w:tc>
          <w:tcPr>
            <w:tcW w:w="52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540" w:type="dxa"/>
            <w:vAlign w:val="bottom"/>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1500" w:type="dxa"/>
            <w:vAlign w:val="bottom"/>
            <w:shd w:val="clear" w:color="auto" w:fill="CCEEFF"/>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1480" w:type="dxa"/>
            <w:vAlign w:val="bottom"/>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150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189"/>
        </w:trPr>
        <w:tc>
          <w:tcPr>
            <w:tcW w:w="52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154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24.2%</w:t>
            </w:r>
          </w:p>
        </w:tc>
        <w:tc>
          <w:tcPr>
            <w:tcW w:w="150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22.9%</w:t>
            </w:r>
          </w:p>
        </w:tc>
        <w:tc>
          <w:tcPr>
            <w:tcW w:w="148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8"/>
              </w:rPr>
              <w:t>10.3%</w:t>
            </w:r>
          </w:p>
        </w:tc>
        <w:tc>
          <w:tcPr>
            <w:tcW w:w="150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color w:val="auto"/>
              </w:rPr>
              <w:t>12.4%</w:t>
            </w:r>
          </w:p>
        </w:tc>
      </w:tr>
      <w:tr>
        <w:trPr>
          <w:trHeight w:val="189"/>
        </w:trPr>
        <w:tc>
          <w:tcPr>
            <w:tcW w:w="52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Segment net income (loss)</w:t>
            </w:r>
          </w:p>
        </w:tc>
        <w:tc>
          <w:tcPr>
            <w:tcW w:w="1540" w:type="dxa"/>
            <w:vAlign w:val="bottom"/>
            <w:shd w:val="clear" w:color="auto" w:fill="CCEEFF"/>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-22.9%</w:t>
            </w:r>
          </w:p>
        </w:tc>
        <w:tc>
          <w:tcPr>
            <w:tcW w:w="1500" w:type="dxa"/>
            <w:vAlign w:val="bottom"/>
            <w:shd w:val="clear" w:color="auto" w:fill="CCEEFF"/>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-31.7%</w:t>
            </w:r>
          </w:p>
        </w:tc>
        <w:tc>
          <w:tcPr>
            <w:tcW w:w="1480" w:type="dxa"/>
            <w:vAlign w:val="bottom"/>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8"/>
              </w:rPr>
              <w:t>24.1%</w:t>
            </w:r>
          </w:p>
        </w:tc>
        <w:tc>
          <w:tcPr>
            <w:tcW w:w="1500" w:type="dxa"/>
            <w:vAlign w:val="bottom"/>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auto"/>
              </w:rPr>
              <w:t>32.3%</w:t>
            </w:r>
          </w:p>
        </w:tc>
      </w:tr>
      <w:tr>
        <w:trPr>
          <w:trHeight w:val="189"/>
        </w:trPr>
        <w:tc>
          <w:tcPr>
            <w:tcW w:w="5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5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1540" w:type="dxa"/>
            <w:vAlign w:val="bottom"/>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18.3%</w:t>
            </w:r>
          </w:p>
        </w:tc>
        <w:tc>
          <w:tcPr>
            <w:tcW w:w="1500" w:type="dxa"/>
            <w:vAlign w:val="bottom"/>
            <w:shd w:val="clear" w:color="auto" w:fill="CCEEFF"/>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6"/>
              </w:rPr>
              <w:t>-0.7%</w:t>
            </w:r>
          </w:p>
        </w:tc>
        <w:tc>
          <w:tcPr>
            <w:tcW w:w="1480" w:type="dxa"/>
            <w:vAlign w:val="bottom"/>
            <w:shd w:val="clear" w:color="auto" w:fill="CCEEFF"/>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8"/>
              </w:rPr>
              <w:t>-23.4%</w:t>
            </w:r>
          </w:p>
        </w:tc>
        <w:tc>
          <w:tcPr>
            <w:tcW w:w="1500" w:type="dxa"/>
            <w:vAlign w:val="bottom"/>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auto"/>
              </w:rPr>
              <w:t>-27.9%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September 30, 2025 compared with three months ended September 30,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increased by $11,719 or by 12.1% due to:</w:t>
      </w:r>
    </w:p>
    <w:p>
      <w:pPr>
        <w:spacing w:after="0" w:line="206" w:lineRule="exact"/>
        <w:rPr>
          <w:sz w:val="20"/>
          <w:szCs w:val="20"/>
          <w:color w:val="auto"/>
        </w:rPr>
      </w:pPr>
    </w:p>
    <w:p>
      <w:pPr>
        <w:ind w:left="340" w:right="960"/>
        <w:spacing w:after="0" w:line="235" w:lineRule="auto"/>
        <w:rPr>
          <w:sz w:val="20"/>
          <w:szCs w:val="20"/>
          <w:color w:val="auto"/>
        </w:rPr>
      </w:pPr>
      <w:r>
        <w:rPr>
          <w:rFonts w:ascii="Times New Roman" w:cs="Times New Roman" w:eastAsia="Times New Roman" w:hAnsi="Times New Roman"/>
          <w:sz w:val="22"/>
          <w:szCs w:val="22"/>
          <w:color w:val="auto"/>
        </w:rPr>
        <w:t>an increase in purchased gas costs of $2,362; refer to purchased gas costs discussion below for further information; an increase of $5,741 due to higher rates and other surcharges;</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an increase of $2,842 due to lower tax repair surcredit;</w:t>
      </w:r>
    </w:p>
    <w:p>
      <w:pPr>
        <w:ind w:left="340" w:right="1140"/>
        <w:spacing w:after="0" w:line="224" w:lineRule="auto"/>
        <w:rPr>
          <w:sz w:val="20"/>
          <w:szCs w:val="20"/>
          <w:color w:val="auto"/>
        </w:rPr>
      </w:pPr>
      <w:r>
        <w:rPr>
          <w:rFonts w:ascii="Times New Roman" w:cs="Times New Roman" w:eastAsia="Times New Roman" w:hAnsi="Times New Roman"/>
          <w:sz w:val="22"/>
          <w:szCs w:val="22"/>
          <w:color w:val="auto"/>
        </w:rPr>
        <w:t>an increase in customer assistance surcharge of $589, which generally has an offsetting amount in operations and maintenance expense; and</w:t>
      </w:r>
    </w:p>
    <w:p>
      <w:pPr>
        <w:ind w:left="340" w:right="520"/>
        <w:spacing w:after="0" w:line="217" w:lineRule="auto"/>
        <w:rPr>
          <w:sz w:val="20"/>
          <w:szCs w:val="20"/>
          <w:color w:val="auto"/>
        </w:rPr>
      </w:pPr>
      <w:r>
        <w:rPr>
          <w:rFonts w:ascii="Times New Roman" w:cs="Times New Roman" w:eastAsia="Times New Roman" w:hAnsi="Times New Roman"/>
          <w:sz w:val="22"/>
          <w:szCs w:val="22"/>
          <w:color w:val="auto"/>
        </w:rPr>
        <w:t>a weather normalization adjustment of $155 in Pennsylvania, which had the effect of increasing revenues for the quarter ended September 30, 2025; offset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impact of lower volumes delivered of $389.</w:t>
      </w:r>
    </w:p>
    <w:p>
      <w:pPr>
        <w:spacing w:after="0" w:line="19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2"/>
          <w:szCs w:val="22"/>
          <w:color w:val="auto"/>
        </w:rPr>
        <w:t>Operations and maintenance expense for the three months ended September 30, 2025 decreased by $1,549 or 3.2% primarily due to the following:</w:t>
      </w:r>
    </w:p>
    <w:p>
      <w:pPr>
        <w:spacing w:after="0" w:line="172" w:lineRule="exact"/>
        <w:rPr>
          <w:sz w:val="20"/>
          <w:szCs w:val="20"/>
          <w:color w:val="auto"/>
        </w:rPr>
      </w:pPr>
    </w:p>
    <w:p>
      <w:pPr>
        <w:ind w:left="340" w:right="6280"/>
        <w:spacing w:after="0" w:line="246" w:lineRule="auto"/>
        <w:rPr>
          <w:sz w:val="20"/>
          <w:szCs w:val="20"/>
          <w:color w:val="auto"/>
        </w:rPr>
      </w:pPr>
      <w:r>
        <w:rPr>
          <w:rFonts w:ascii="Times New Roman" w:cs="Times New Roman" w:eastAsia="Times New Roman" w:hAnsi="Times New Roman"/>
          <w:sz w:val="21"/>
          <w:szCs w:val="21"/>
          <w:color w:val="auto"/>
        </w:rPr>
        <w:t>an increase in labor and employee benefits of $2,236; an increase in bad debt expense of $700; and</w:t>
      </w:r>
    </w:p>
    <w:p>
      <w:pPr>
        <w:spacing w:after="0" w:line="1" w:lineRule="exact"/>
        <w:rPr>
          <w:sz w:val="20"/>
          <w:szCs w:val="20"/>
          <w:color w:val="auto"/>
        </w:rPr>
      </w:pPr>
    </w:p>
    <w:p>
      <w:pPr>
        <w:ind w:left="340" w:right="280"/>
        <w:spacing w:after="0" w:line="217" w:lineRule="auto"/>
        <w:rPr>
          <w:sz w:val="20"/>
          <w:szCs w:val="20"/>
          <w:color w:val="auto"/>
        </w:rPr>
      </w:pPr>
      <w:r>
        <w:rPr>
          <w:rFonts w:ascii="Times New Roman" w:cs="Times New Roman" w:eastAsia="Times New Roman" w:hAnsi="Times New Roman"/>
          <w:sz w:val="22"/>
          <w:szCs w:val="22"/>
          <w:color w:val="auto"/>
        </w:rPr>
        <w:t>an increase in customer assistance surcharge costs of $589, which generally has an offsetting amount in revenues; offset by a decrease in legal expenses of $815;</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a decrease in materials and supplies of $1,321;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3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right="740"/>
        <w:spacing w:after="0" w:line="245" w:lineRule="auto"/>
        <w:rPr>
          <w:sz w:val="20"/>
          <w:szCs w:val="20"/>
          <w:color w:val="auto"/>
        </w:rPr>
      </w:pPr>
      <w:r>
        <w:rPr>
          <w:rFonts w:ascii="Times New Roman" w:cs="Times New Roman" w:eastAsia="Times New Roman" w:hAnsi="Times New Roman"/>
          <w:sz w:val="22"/>
          <w:szCs w:val="22"/>
          <w:color w:val="auto"/>
        </w:rPr>
        <w:t>a decrease in outside services and higher capitalization as a result of greater capital expenditures in the current period compared to the prior period.</w:t>
      </w:r>
    </w:p>
    <w:p>
      <w:pPr>
        <w:spacing w:after="0" w:line="172"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2"/>
          <w:szCs w:val="22"/>
          <w:color w:val="auto"/>
        </w:rPr>
        <w:t>Our Regulated Natural Gas segment is affected by the cost of natural gas, which is passed through to customers using a purchased gas adjustment clause and includes commodity price, transportation and storage costs. These costs are reflected in the condensed consolidated statement of operations and comprehensive income as purchased gas expenses. Fluctuations in the cost of purchased gas impact operating revenues on a dollar-for-dollar basis. Purchased gas increased by $2,362 or 13.4% largely due to an increase in the average cost of gas of $3,989, offset by lower gas usage of $1,627 resulting from a slight shift in customer usage pattern during the third quarter of 2025.</w:t>
      </w:r>
    </w:p>
    <w:p>
      <w:pPr>
        <w:spacing w:after="0" w:line="179" w:lineRule="exact"/>
        <w:rPr>
          <w:sz w:val="20"/>
          <w:szCs w:val="20"/>
          <w:color w:val="auto"/>
        </w:rPr>
      </w:pPr>
    </w:p>
    <w:p>
      <w:pPr>
        <w:ind w:right="1200"/>
        <w:spacing w:after="0" w:line="258" w:lineRule="auto"/>
        <w:rPr>
          <w:sz w:val="20"/>
          <w:szCs w:val="20"/>
          <w:color w:val="auto"/>
        </w:rPr>
      </w:pPr>
      <w:r>
        <w:rPr>
          <w:rFonts w:ascii="Times New Roman" w:cs="Times New Roman" w:eastAsia="Times New Roman" w:hAnsi="Times New Roman"/>
          <w:sz w:val="22"/>
          <w:szCs w:val="22"/>
          <w:color w:val="auto"/>
        </w:rPr>
        <w:t>Depreciation and amortization increased by $7,093 or 20.7% primarily due to continued capital investment, and the implementation of new depreciation rates following a recently completed rate case.</w:t>
      </w:r>
    </w:p>
    <w:p>
      <w:pPr>
        <w:spacing w:after="0" w:line="158" w:lineRule="exact"/>
        <w:rPr>
          <w:sz w:val="20"/>
          <w:szCs w:val="20"/>
          <w:color w:val="auto"/>
        </w:rPr>
      </w:pPr>
    </w:p>
    <w:p>
      <w:pPr>
        <w:ind w:right="500"/>
        <w:spacing w:after="0" w:line="245" w:lineRule="auto"/>
        <w:rPr>
          <w:sz w:val="20"/>
          <w:szCs w:val="20"/>
          <w:color w:val="auto"/>
        </w:rPr>
      </w:pPr>
      <w:r>
        <w:rPr>
          <w:rFonts w:ascii="Times New Roman" w:cs="Times New Roman" w:eastAsia="Times New Roman" w:hAnsi="Times New Roman"/>
          <w:sz w:val="22"/>
          <w:szCs w:val="22"/>
          <w:color w:val="auto"/>
        </w:rPr>
        <w:t>Interest expense, net, increased by $4,076 or 18.4% due to higher push down debt borrowings of the Regulated Natural Gas segment from Essential Utilities, Inc, which is primarily used to fund capital projects.</w:t>
      </w:r>
    </w:p>
    <w:p>
      <w:pPr>
        <w:spacing w:after="0" w:line="18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Our effective income tax rate for our Regulated Natural Gas segment was a benefit of 18.3% and an expense of 0.7% in the third quarter of 2025 and 2024, respectively. The increase in the income tax benefit is primarily attributed to the net increase in the tax benefit associated with the deduction for continued qualifying infrastructure investment, offset by decreases in both the state tax benefit and the amortization of the tax repairs surcredit based on a rate order received in September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Nine months ended September 30, 2025 compared with nine months ended September 30,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increased by $207,318 or by 37.7% due to:</w:t>
      </w:r>
    </w:p>
    <w:p>
      <w:pPr>
        <w:spacing w:after="0" w:line="206" w:lineRule="exact"/>
        <w:rPr>
          <w:sz w:val="20"/>
          <w:szCs w:val="20"/>
          <w:color w:val="auto"/>
        </w:rPr>
      </w:pPr>
    </w:p>
    <w:p>
      <w:pPr>
        <w:ind w:left="340" w:right="820"/>
        <w:spacing w:after="0" w:line="235" w:lineRule="auto"/>
        <w:rPr>
          <w:sz w:val="20"/>
          <w:szCs w:val="20"/>
          <w:color w:val="auto"/>
        </w:rPr>
      </w:pPr>
      <w:r>
        <w:rPr>
          <w:rFonts w:ascii="Times New Roman" w:cs="Times New Roman" w:eastAsia="Times New Roman" w:hAnsi="Times New Roman"/>
          <w:sz w:val="22"/>
          <w:szCs w:val="22"/>
          <w:color w:val="auto"/>
        </w:rPr>
        <w:t>an increase in purchased gas costs of $74,631; refer to purchased gas costs discussion below for further information; an increase of $65,755 due to higher rates and other surcharges;</w:t>
      </w:r>
    </w:p>
    <w:p>
      <w:pPr>
        <w:spacing w:after="0" w:line="1" w:lineRule="exact"/>
        <w:rPr>
          <w:sz w:val="20"/>
          <w:szCs w:val="20"/>
          <w:color w:val="auto"/>
        </w:rPr>
      </w:pPr>
    </w:p>
    <w:p>
      <w:pPr>
        <w:ind w:left="340" w:right="540"/>
        <w:spacing w:after="0" w:line="217" w:lineRule="auto"/>
        <w:rPr>
          <w:sz w:val="20"/>
          <w:szCs w:val="20"/>
          <w:color w:val="auto"/>
        </w:rPr>
      </w:pPr>
      <w:r>
        <w:rPr>
          <w:rFonts w:ascii="Times New Roman" w:cs="Times New Roman" w:eastAsia="Times New Roman" w:hAnsi="Times New Roman"/>
          <w:sz w:val="22"/>
          <w:szCs w:val="22"/>
          <w:color w:val="auto"/>
        </w:rPr>
        <w:t>impact of higher volumes delivered of $34,311 due to colder weather conditions during the first nine months of 2025 as compared to 2024;</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an increase of $17,938 due to lower tax repair surcredit;</w:t>
      </w:r>
    </w:p>
    <w:p>
      <w:pPr>
        <w:ind w:left="340" w:right="940"/>
        <w:spacing w:after="0" w:line="217" w:lineRule="auto"/>
        <w:rPr>
          <w:sz w:val="20"/>
          <w:szCs w:val="20"/>
          <w:color w:val="auto"/>
        </w:rPr>
      </w:pPr>
      <w:r>
        <w:rPr>
          <w:rFonts w:ascii="Times New Roman" w:cs="Times New Roman" w:eastAsia="Times New Roman" w:hAnsi="Times New Roman"/>
          <w:sz w:val="22"/>
          <w:szCs w:val="22"/>
          <w:color w:val="auto"/>
        </w:rPr>
        <w:t>an increase in customer assistance surcharge of $9,839, which generally has an offsetting amount in operations and maintenance expense; and</w:t>
      </w:r>
    </w:p>
    <w:p>
      <w:pPr>
        <w:spacing w:after="0" w:line="1" w:lineRule="exact"/>
        <w:rPr>
          <w:sz w:val="20"/>
          <w:szCs w:val="20"/>
          <w:color w:val="auto"/>
        </w:rPr>
      </w:pPr>
    </w:p>
    <w:p>
      <w:pPr>
        <w:ind w:left="340" w:right="560"/>
        <w:spacing w:after="0" w:line="231" w:lineRule="auto"/>
        <w:rPr>
          <w:sz w:val="20"/>
          <w:szCs w:val="20"/>
          <w:color w:val="auto"/>
        </w:rPr>
      </w:pPr>
      <w:r>
        <w:rPr>
          <w:rFonts w:ascii="Times New Roman" w:cs="Times New Roman" w:eastAsia="Times New Roman" w:hAnsi="Times New Roman"/>
          <w:sz w:val="22"/>
          <w:szCs w:val="22"/>
          <w:color w:val="auto"/>
        </w:rPr>
        <w:t>a weather normalization adjustment of $2,717 in Pennsylvania, which had the effect of increasing revenues for the nine months ended September 30, 2025.</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3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Operations and maintenance expense for the nine months ended September 30, 2025 increased by $8,286 or 5.7% primarily due to the following:</w:t>
      </w:r>
    </w:p>
    <w:p>
      <w:pPr>
        <w:spacing w:after="0" w:line="158" w:lineRule="exact"/>
        <w:rPr>
          <w:sz w:val="20"/>
          <w:szCs w:val="20"/>
          <w:color w:val="auto"/>
        </w:rPr>
      </w:pPr>
    </w:p>
    <w:p>
      <w:pPr>
        <w:ind w:left="340" w:right="880"/>
        <w:spacing w:after="0" w:line="235" w:lineRule="auto"/>
        <w:rPr>
          <w:sz w:val="20"/>
          <w:szCs w:val="20"/>
          <w:color w:val="auto"/>
        </w:rPr>
      </w:pPr>
      <w:r>
        <w:rPr>
          <w:rFonts w:ascii="Times New Roman" w:cs="Times New Roman" w:eastAsia="Times New Roman" w:hAnsi="Times New Roman"/>
          <w:sz w:val="22"/>
          <w:szCs w:val="22"/>
          <w:color w:val="auto"/>
        </w:rPr>
        <w:t>an increase in customer assistance surcharge costs of $9,839, which generally has an offsetting amount in revenues; an increase in labor and employee benefits of $6,739;</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an increase in legal expenses of $1,348; and</w:t>
      </w:r>
    </w:p>
    <w:p>
      <w:pPr>
        <w:ind w:left="340" w:right="6380"/>
        <w:spacing w:after="0" w:line="234" w:lineRule="auto"/>
        <w:rPr>
          <w:sz w:val="20"/>
          <w:szCs w:val="20"/>
          <w:color w:val="auto"/>
        </w:rPr>
      </w:pPr>
      <w:r>
        <w:rPr>
          <w:rFonts w:ascii="Times New Roman" w:cs="Times New Roman" w:eastAsia="Times New Roman" w:hAnsi="Times New Roman"/>
          <w:sz w:val="21"/>
          <w:szCs w:val="21"/>
          <w:color w:val="auto"/>
        </w:rPr>
        <w:t>an increase in bad debt expense of $1,526; offset by a decrease in materials and supplies of $2,882; and</w:t>
      </w:r>
    </w:p>
    <w:p>
      <w:pPr>
        <w:spacing w:after="0" w:line="1" w:lineRule="exact"/>
        <w:rPr>
          <w:sz w:val="20"/>
          <w:szCs w:val="20"/>
          <w:color w:val="auto"/>
        </w:rPr>
      </w:pPr>
    </w:p>
    <w:p>
      <w:pPr>
        <w:ind w:left="340" w:right="40"/>
        <w:spacing w:after="0" w:line="231" w:lineRule="auto"/>
        <w:rPr>
          <w:sz w:val="20"/>
          <w:szCs w:val="20"/>
          <w:color w:val="auto"/>
        </w:rPr>
      </w:pPr>
      <w:r>
        <w:rPr>
          <w:rFonts w:ascii="Times New Roman" w:cs="Times New Roman" w:eastAsia="Times New Roman" w:hAnsi="Times New Roman"/>
          <w:sz w:val="22"/>
          <w:szCs w:val="22"/>
          <w:color w:val="auto"/>
        </w:rPr>
        <w:t>an increase in capitalization in our Regulated Natural Gas segment of $7,814 in the current period as compared with the prior period due to higher capital spend and increasing pool of eligible capitalizable costs.</w:t>
      </w:r>
    </w:p>
    <w:p>
      <w:pPr>
        <w:spacing w:after="0" w:line="178"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2"/>
          <w:szCs w:val="22"/>
          <w:color w:val="auto"/>
        </w:rPr>
        <w:t>Purchased gas increased by $74,631 or 42.4% due to an increase in the average cost of gas of $49,845 and higher gas usage of $25,172 due to colder weather conditions during the first nine months of 2025, offset by a decrease of $386 from the sale of our interest in three non-utility local microgrid and distributed energy projects in January 2024. During the first nine months of September 30, 2025, we experienced 3,299 actual HDDs, which was colder by 24.9% than prior year’s 2,642 HDDs for Pittsburgh, Pennsylvania, which we use as a proxy for our western Pennsylvania service territory.</w:t>
      </w:r>
    </w:p>
    <w:p>
      <w:pPr>
        <w:spacing w:after="0" w:line="192" w:lineRule="exact"/>
        <w:rPr>
          <w:sz w:val="20"/>
          <w:szCs w:val="20"/>
          <w:color w:val="auto"/>
        </w:rPr>
      </w:pPr>
    </w:p>
    <w:p>
      <w:pPr>
        <w:ind w:right="1100"/>
        <w:spacing w:after="0" w:line="245" w:lineRule="auto"/>
        <w:rPr>
          <w:sz w:val="20"/>
          <w:szCs w:val="20"/>
          <w:color w:val="auto"/>
        </w:rPr>
      </w:pPr>
      <w:r>
        <w:rPr>
          <w:rFonts w:ascii="Times New Roman" w:cs="Times New Roman" w:eastAsia="Times New Roman" w:hAnsi="Times New Roman"/>
          <w:sz w:val="22"/>
          <w:szCs w:val="22"/>
          <w:color w:val="auto"/>
        </w:rPr>
        <w:t>Depreciation and amortization increased by $18,688 or 18.8% primarily due to continued capital investment, and the implementation of new depreciation rates following a recently completed rate case.</w:t>
      </w:r>
    </w:p>
    <w:p>
      <w:pPr>
        <w:spacing w:after="0" w:line="18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2"/>
          <w:szCs w:val="22"/>
          <w:color w:val="auto"/>
        </w:rPr>
        <w:t>Taxes other than income taxes decreased by $3,936 or 22.0% largely due to a favorable adjustment on sales and use tax accruals as a result of the closure of a sales and use tax audit during the second quarter of 2025.</w:t>
      </w:r>
    </w:p>
    <w:p>
      <w:pPr>
        <w:spacing w:after="0" w:line="18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2"/>
          <w:szCs w:val="22"/>
          <w:color w:val="auto"/>
        </w:rPr>
        <w:t>Interest expense, net, increased by $9,824 or 14.4% primarily due to higher push down debt borrowings of the Regulated Natural Gas segment from Essential Utilities, Inc, which is primarily used to fund capital projects.</w:t>
      </w:r>
    </w:p>
    <w:p>
      <w:pPr>
        <w:spacing w:after="0" w:line="17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Gain on sale of assets was $0 and $91,581 for the nine-month period ended September 30, 2025 and 2024, respectively. During the first quarter of 2024, the Company completed the sale of its interest in three non-utility local microgrid and distributed energy projects and recognized a gain of $91,236.</w:t>
      </w:r>
    </w:p>
    <w:p>
      <w:pPr>
        <w:spacing w:after="0" w:line="179"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Our effective income tax rate for our Regulated Natural Gas segment was a benefit of 23.4% and 27.9% in the first nine months of 2025 and 2024, respectively. The decrease in the income tax benefit is primarily attributed to decreases in both the state tax benefit and the amortization of the tax repair surcredit based on a rate order received in September 2024.</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Impact of Recent Accounting Pronouncements</w:t>
      </w:r>
    </w:p>
    <w:p>
      <w:pPr>
        <w:spacing w:after="0" w:line="21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2"/>
          <w:szCs w:val="22"/>
          <w:color w:val="auto"/>
        </w:rPr>
        <w:t xml:space="preserve">We describe the impact of recent accounting pronouncements in Note 17, </w:t>
      </w:r>
      <w:r>
        <w:rPr>
          <w:rFonts w:ascii="Times New Roman" w:cs="Times New Roman" w:eastAsia="Times New Roman" w:hAnsi="Times New Roman"/>
          <w:sz w:val="22"/>
          <w:szCs w:val="22"/>
          <w:i w:val="1"/>
          <w:iCs w:val="1"/>
          <w:color w:val="auto"/>
        </w:rPr>
        <w:t>Recent Accounting Pronouncements</w:t>
      </w:r>
      <w:r>
        <w:rPr>
          <w:rFonts w:ascii="Times New Roman" w:cs="Times New Roman" w:eastAsia="Times New Roman" w:hAnsi="Times New Roman"/>
          <w:sz w:val="22"/>
          <w:szCs w:val="22"/>
          <w:color w:val="auto"/>
        </w:rPr>
        <w:t>, to the condensed consolidated financial statements in this report.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 Quantitative and Qualitative Disclosures About Market Risk</w:t>
      </w:r>
    </w:p>
    <w:p>
      <w:pPr>
        <w:spacing w:after="0" w:line="206" w:lineRule="exact"/>
        <w:rPr>
          <w:sz w:val="20"/>
          <w:szCs w:val="20"/>
          <w:color w:val="auto"/>
        </w:rPr>
      </w:pPr>
    </w:p>
    <w:p>
      <w:pPr>
        <w:jc w:val="both"/>
        <w:ind w:right="280"/>
        <w:spacing w:after="0" w:line="238" w:lineRule="auto"/>
        <w:rPr>
          <w:sz w:val="20"/>
          <w:szCs w:val="20"/>
          <w:color w:val="auto"/>
        </w:rPr>
      </w:pPr>
      <w:r>
        <w:rPr>
          <w:rFonts w:ascii="Times New Roman" w:cs="Times New Roman" w:eastAsia="Times New Roman" w:hAnsi="Times New Roman"/>
          <w:sz w:val="22"/>
          <w:szCs w:val="22"/>
          <w:color w:val="auto"/>
        </w:rPr>
        <w:t>We are subject to market risks in the normal course of business, including changes in interest rates and equity prices. Refer to Item 7A of the Company’s Annual Report on Form 10-K for the year ended December 31, 2024, filed February 27, 2025, for additional information on market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 Controls and Procedures</w:t>
      </w:r>
    </w:p>
    <w:p>
      <w:pPr>
        <w:spacing w:after="0" w:line="220"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Evaluation of Disclosure Controls and Procedures</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93"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Internal Control over Financial Reporting</w:t>
      </w:r>
    </w:p>
    <w:p>
      <w:pPr>
        <w:spacing w:after="0" w:line="206" w:lineRule="exact"/>
        <w:rPr>
          <w:sz w:val="20"/>
          <w:szCs w:val="20"/>
          <w:color w:val="auto"/>
        </w:rPr>
      </w:pPr>
    </w:p>
    <w:p>
      <w:pPr>
        <w:ind w:right="720"/>
        <w:spacing w:after="0" w:line="245" w:lineRule="auto"/>
        <w:rPr>
          <w:sz w:val="20"/>
          <w:szCs w:val="20"/>
          <w:color w:val="auto"/>
        </w:rPr>
      </w:pPr>
      <w:r>
        <w:rPr>
          <w:rFonts w:ascii="Times New Roman" w:cs="Times New Roman" w:eastAsia="Times New Roman" w:hAnsi="Times New Roman"/>
          <w:sz w:val="22"/>
          <w:szCs w:val="22"/>
          <w:color w:val="auto"/>
        </w:rPr>
        <w:t>No change in our internal control over financial reporting occurred during the quarter ended September 30, 2025 that has materially affected, or is reasonably likely to materially affect, our internal control over financial reporting.</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 – Legal Proceedings</w:t>
      </w:r>
    </w:p>
    <w:p>
      <w:pPr>
        <w:spacing w:after="0" w:line="220"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2"/>
          <w:szCs w:val="22"/>
          <w:color w:val="auto"/>
        </w:rPr>
        <w:t>For a discussion of the Company’s legal proceedings, see Part I – Item I – Note 15 to the Company’s condensed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1A – Risk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Please review the risks disclosed in our Annual Report on Form 10-K for the year ended December 31, 2024, under “Part 1, Item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1A – Risk Factors”, to which there have been no material changes except as supplemented by the following: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the Proposed Merger</w:t>
      </w:r>
    </w:p>
    <w:p>
      <w:pPr>
        <w:spacing w:after="0" w:line="218" w:lineRule="exact"/>
        <w:rPr>
          <w:sz w:val="20"/>
          <w:szCs w:val="20"/>
          <w:color w:val="auto"/>
        </w:rPr>
      </w:pPr>
    </w:p>
    <w:p>
      <w:pPr>
        <w:jc w:val="both"/>
        <w:ind w:right="20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The market price of shares of Essential Common Stock or American Water Common Stock will fluctuate and the Exchange Ratio will not be adjusted to reflect such fluctuations, and as a result, the Merger Consideration at the date of the closing of the Merger may vary significantly from the date the Merger Agreement was executed.</w:t>
      </w:r>
    </w:p>
    <w:p>
      <w:pPr>
        <w:spacing w:after="0" w:line="191"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22"/>
          <w:szCs w:val="22"/>
          <w:color w:val="auto"/>
        </w:rPr>
        <w:t>Upon completion of the Merger, each outstanding share of Essential Common Stock will be converted into the right to receive 0.305 shares of American Water Common Stock. The number of shares of American Water Common Stock to be issued pursuant to the Merger Agreement for each share of Essential Common Stock will not change to reflect changes in the market price of American Water Common Stock or Essential’s Common Stock. The market price of Essential Common Stock and American Water Common</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1"/>
          <w:szCs w:val="21"/>
          <w:color w:val="auto"/>
        </w:rPr>
        <w:t>Stock at the time of completion of the Merger may vary significantly from the price on the date the Merger Agreement was executed and/or the date or dates of special shareholder meetings to be held in connection with the Merger. Because we may not complete the Merger until a significant period of time has passed after these dates, the market value of American Water Common Stock issued in connection with the Merger and the Essential Common Stock surrendered in connection with the Merger may be higher or lower than the values of those shares on earlier dates. Stock price changes may result from market assessment of the likelihood that the Merger will be completed, changes in our or American Water’s business, operations or prospects prior to or following the Merger, litigation or regulatory considerations, reactions from the financial markets or analysts, general business, market, industry or economic conditions and other factors both within and beyond our and American Water’s control, including the risks, uncertainties and other factors described in “Part 1, Item 1A – Risk Factors” included in our Annual Report on Form</w:t>
      </w:r>
    </w:p>
    <w:p>
      <w:pPr>
        <w:spacing w:after="0" w:line="7"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22"/>
          <w:szCs w:val="22"/>
          <w:color w:val="auto"/>
        </w:rPr>
        <w:t>10-K for the year ended December 31, 2024, and in our other SEC filings, and those described in American Water’s SEC filings. Neither we nor American Water may terminate the Merger Agreement solely because of changes in the market price of either company’s common stock.</w:t>
      </w:r>
    </w:p>
    <w:p>
      <w:pPr>
        <w:spacing w:after="0" w:line="18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The Merger is subject to various closing conditions, including the receipt of consents and approvals from various governmental and regulatory entities and third parties, and a failure to obtain all such consents or approvals or to satisfy such other closing conditions could prevent or delay the completion of the Merger or impose conditions that could have a material adverse effect on us or the combined company.</w:t>
      </w:r>
    </w:p>
    <w:p>
      <w:pPr>
        <w:spacing w:after="0" w:line="18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1"/>
          <w:szCs w:val="21"/>
          <w:color w:val="auto"/>
        </w:rPr>
        <w:t>We anticipate that, subject to the receipt of all required regulatory and other consents and approvals and the satisfaction or waiver of all other closing conditions, the Merger will be completed in the first quarter of 2027. Among other closing conditions, completion of the Merger is conditioned upon the receipt of such required consents, orders and approvals from various governmental and regulatory entities and other third parties, including public utility commissions in certain states in which either or both companies operate, including without limitation the Pennsylvania Public Utility Commission. The Merger is also subject to review under the Hart-Scott-Rodino Antitrust Improvements Act of 1976, and the expiration or earlier termination of the waiting period (and any extension of the waiting period) applicable to the Merger is a condition to closing the Merger.</w:t>
      </w:r>
    </w:p>
    <w:p>
      <w:pPr>
        <w:spacing w:after="0" w:line="180"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2"/>
          <w:szCs w:val="22"/>
          <w:color w:val="auto"/>
        </w:rPr>
        <w:t>Approvals by shareholders of each of American Water and the Company will also be required to complete the Merger. We and American Water cannot provide any assurance that all of the required consents, orders and approvals will be obtained or that these consents, orders or approvals will not be conditioned on terms, conditions or restrictions that would be detrimental to the combined company after the completion of the Merger, including requiring one or both companies to dispose of certain assets. One or both company’s shareholders may not approve the Merger. The Merger Agreement allows, subject to certain conditions, limitations and exclusions, each party to terminate the Merger Agreement (and generally without the payment of a termination fee to the non-terminating party) if the final terms of any of the required regulatory consents, orders or approvals would result in or require an undertaking of efforts or the taking of action that would reasonably be expected to have, individually or in the aggregate, a “Burdensome Effect” (as defined in the Merger Agreement). Any substantial delay in obtaining satisfactory consents, orders or approvals, or the imposition of any requirements, terms or conditions in connection with a party’s obtaining such consents, orders or approvals, could be on terms that we or American Water do not believe to be reasonable or could cause a material reduction in the expected benefits of the Merger and/or an impairment or deterioration in our or American Water’s relationships with their respective applicable public utility commissions. If any such delays or conditions are significant enough, one or both parties may decide to abandon the Merger and terminate the Merger Agreement, subject to its terms. If the Merger is not completed, our ongoing businesses may be adversely affected, including, as follows: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320" w:hanging="328"/>
        <w:spacing w:after="0" w:line="235"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to pay certain significant costs relating to the Merger without receiving the benefits of the Merger, including, in certain circumstances, a payment by us to American Water of a termination fee of $370 million;</w:t>
      </w:r>
    </w:p>
    <w:p>
      <w:pPr>
        <w:spacing w:after="0" w:line="1" w:lineRule="exact"/>
        <w:rPr>
          <w:rFonts w:ascii="Times New Roman" w:cs="Times New Roman" w:eastAsia="Times New Roman" w:hAnsi="Times New Roman"/>
          <w:sz w:val="22"/>
          <w:szCs w:val="22"/>
          <w:color w:val="auto"/>
        </w:rPr>
      </w:pPr>
    </w:p>
    <w:p>
      <w:pPr>
        <w:ind w:left="660" w:hanging="328"/>
        <w:spacing w:after="0" w:line="217"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diversion of management’s attention from day-to-day operations;</w:t>
      </w:r>
    </w:p>
    <w:p>
      <w:pPr>
        <w:ind w:left="660" w:right="580" w:hanging="328"/>
        <w:spacing w:after="0" w:line="217"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pursuing other strategic transactions that we may have otherwise considered had we not entered into the Merger Agreement with American Water;</w:t>
      </w:r>
    </w:p>
    <w:p>
      <w:pPr>
        <w:spacing w:after="0" w:line="1" w:lineRule="exact"/>
        <w:rPr>
          <w:rFonts w:ascii="Times New Roman" w:cs="Times New Roman" w:eastAsia="Times New Roman" w:hAnsi="Times New Roman"/>
          <w:sz w:val="22"/>
          <w:szCs w:val="22"/>
          <w:color w:val="auto"/>
        </w:rPr>
      </w:pPr>
    </w:p>
    <w:p>
      <w:pPr>
        <w:ind w:left="660" w:right="20" w:hanging="328"/>
        <w:spacing w:after="0" w:line="221"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will have been subject to certain restrictions on the conduct of our ongoing businesses, which may have prevent us from making certain acquisitions or dispositions or pursuing certain business opportunities while the Merger was pending; and</w:t>
      </w:r>
    </w:p>
    <w:p>
      <w:pPr>
        <w:spacing w:after="0" w:line="3" w:lineRule="exact"/>
        <w:rPr>
          <w:rFonts w:ascii="Times New Roman" w:cs="Times New Roman" w:eastAsia="Times New Roman" w:hAnsi="Times New Roman"/>
          <w:sz w:val="22"/>
          <w:szCs w:val="22"/>
          <w:color w:val="auto"/>
        </w:rPr>
      </w:pPr>
    </w:p>
    <w:p>
      <w:pPr>
        <w:ind w:left="660" w:right="220" w:hanging="328"/>
        <w:spacing w:after="0" w:line="231"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of Essential Common Stock may decline to reflect assumptions by the market as to whether the Merger will be completed.</w:t>
      </w:r>
    </w:p>
    <w:p>
      <w:pPr>
        <w:spacing w:after="0" w:line="185" w:lineRule="exact"/>
        <w:rPr>
          <w:sz w:val="20"/>
          <w:szCs w:val="20"/>
          <w:color w:val="auto"/>
        </w:rPr>
      </w:pPr>
    </w:p>
    <w:p>
      <w:pPr>
        <w:ind w:right="460"/>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The Merger may cause suppliers, strategic partners, certain customers or others to delay or defer decisions regarding our business, and may adversely affect our ability to effectively manage our business.</w:t>
      </w:r>
    </w:p>
    <w:p>
      <w:pPr>
        <w:spacing w:after="0" w:line="17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color w:val="auto"/>
        </w:rPr>
        <w:t>The Merger will happen only if stated conditions are satisfied, including the receipt of the requisite shareholder approvals and the receipt of regulatory approvals, among other conditions. Many of the conditions are outside the parties’ control, and both parties also have certain rights to terminate the Merger Agreement. Accordingly, there may be uncertainty regarding the completion of the Merger. This uncertainty, or any disagreement with the decision to enter into the Merger Agreement, may cause our suppliers, vendors, strategic partners, certain customers or others that deal with us to delay or defer entering into contracts or make other decisions concerning us, or to seek to change or cancel existing business relationships. Any delay or deferral of those decisions or changes in existing agreements or relationships could have a material adverse effect on us and our financial condition and results of operations.</w:t>
      </w:r>
    </w:p>
    <w:p>
      <w:pPr>
        <w:spacing w:after="0" w:line="17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The Merger Agreement contains provisions that limit our and American Water’s ability to pursue certain alternatives to the Merger, which could discourage a potential acquirer of either American Water or us from making an alternative transaction proposal and, in certain circumstances, could require us or American Water to pay to the other party a significant termination fee.</w:t>
      </w:r>
    </w:p>
    <w:p>
      <w:pPr>
        <w:spacing w:after="0" w:line="194"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color w:val="auto"/>
        </w:rPr>
        <w:t>Under the Merger Agreement, we and American Water are each restricted, subject to limited exceptions, from entering into certain alternative transactions in lieu of the Merger. In general, unless and until the Merger Agreement is terminated, we and American Water are restricted from, among other things, soliciting, initiating, knowingly encouraging or knowingly facilitating the making of a proposal that is or would reasonably be expected to lead to a competing acquisition proposal from any person. Each of our and American Water’s board of directors is limited in its ability to change its recommendation with respect to the Merger and related proposals. We and/or American Water may terminate the Merger Agreement and enter into an agreement with respect to a superior proposal only if specified conditions have been satisfied, including compliance with the non-solicitation provisions of the Merger Agreement. These provisions could discourage a third party that may have an interest in acquiring all or a significant part of us or American Water from considering or proposing such an acquisition, even if such third party were prepared to pay consideration with a higher per share cash or market value than the consideration proposed to be received or realized in the Merger, or the competing transaction might result in a potential acquirer proposing to pay a lower price than it would otherwise have proposed to pay because of the added expense of the termination fee that may become payable in certain circumstances. Under the Merger Agreement, in the event the Merger Agreement is terminated to accept a superior proposal, or under certain other circumstances, American Water would be required to pay a termination fee of $835 million to us in the case of a termination of the Merger Agreement by it, and we would be required to pay a termination fee of $370 million to American Water in the case of a termination of the Merger Agreement by us.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4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We may be the target of securities class action and derivative lawsuits which could result in substantial costs and may delay or prevent the Merger from being completed.</w:t>
      </w:r>
    </w:p>
    <w:p>
      <w:pPr>
        <w:spacing w:after="0" w:line="179"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Securities class action lawsuits and derivative lawsuits are often brought against companies that have entered into a merger agreement. Even if these lawsuits are without merit, defending against these claims can result in substantial costs to the parties to the merger agreement and divert management time and resources. Additionally, if a plaintiff is successful in obtaining an injunction prohibiting the completion of a merger, that injunction may delay or prevent such merger from being completed.</w:t>
      </w:r>
    </w:p>
    <w:p>
      <w:pPr>
        <w:spacing w:after="0" w:line="185" w:lineRule="exact"/>
        <w:rPr>
          <w:sz w:val="20"/>
          <w:szCs w:val="20"/>
          <w:color w:val="auto"/>
        </w:rPr>
      </w:pPr>
    </w:p>
    <w:p>
      <w:pPr>
        <w:ind w:right="720"/>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If completed, the Merger may not achieve its anticipated results, and American Water may not be able to integrate our operations and/or operate the combined company in the manner expected.</w:t>
      </w:r>
    </w:p>
    <w:p>
      <w:pPr>
        <w:spacing w:after="0" w:line="17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2"/>
          <w:szCs w:val="22"/>
          <w:color w:val="auto"/>
        </w:rPr>
        <w:t>We and American Water entered into the Merger Agreement with the expectation that the Merger will result in various benefits, including, among other things, increased efficiencies of scale and size, increased geographic diversity, greater long-term growth opportunities for employees of the combined company, and other operating efficiencies. Achieving the anticipated benefits of the Merger is subject to a number of uncertainties, including whether our and American Water’s businesses can be integrated in an efficient, effective and timely manner.</w:t>
      </w:r>
    </w:p>
    <w:p>
      <w:pPr>
        <w:spacing w:after="0" w:line="178"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1"/>
          <w:szCs w:val="21"/>
          <w:color w:val="auto"/>
        </w:rPr>
        <w:t>American Water could have difficulty integrating our assets, personnel and operations with its own. We anticipate that the integration of the two companies may ultimately be complex, and expect that significant time and resources will be devoted to this integration process. Risks and uncertainties that could impact the integration and combined company negatively include:</w:t>
      </w:r>
    </w:p>
    <w:p>
      <w:pPr>
        <w:spacing w:after="0" w:line="162" w:lineRule="exact"/>
        <w:rPr>
          <w:sz w:val="20"/>
          <w:szCs w:val="20"/>
          <w:color w:val="auto"/>
        </w:rPr>
      </w:pPr>
    </w:p>
    <w:p>
      <w:pPr>
        <w:ind w:left="660" w:right="980" w:hanging="328"/>
        <w:spacing w:after="0" w:line="235"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unforeseen or significant difficulties in integrating the two companies and their assets, operations, cultures and employees;</w:t>
      </w:r>
    </w:p>
    <w:p>
      <w:pPr>
        <w:spacing w:after="0" w:line="1" w:lineRule="exact"/>
        <w:rPr>
          <w:rFonts w:ascii="Times New Roman" w:cs="Times New Roman" w:eastAsia="Times New Roman" w:hAnsi="Times New Roman"/>
          <w:sz w:val="22"/>
          <w:szCs w:val="22"/>
          <w:color w:val="auto"/>
        </w:rPr>
      </w:pPr>
    </w:p>
    <w:p>
      <w:pPr>
        <w:ind w:left="660" w:hanging="328"/>
        <w:spacing w:after="0" w:line="217"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potential disruption of the ongoing businesses and distraction of our and American Water’s management;</w:t>
      </w:r>
    </w:p>
    <w:p>
      <w:pPr>
        <w:ind w:left="660" w:hanging="328"/>
        <w:spacing w:after="0" w:line="217"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our or American Water’s business focus and/or management;</w:t>
      </w:r>
    </w:p>
    <w:p>
      <w:pPr>
        <w:ind w:left="660" w:right="260" w:hanging="328"/>
        <w:spacing w:after="0" w:line="224"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American Water owning, operating, maintaining and successfully managing our natural gas distribution business, including any increased risks and liabilities associated with the operation of that business;</w:t>
      </w:r>
    </w:p>
    <w:p>
      <w:pPr>
        <w:ind w:left="660" w:right="320" w:hanging="328"/>
        <w:spacing w:after="0" w:line="234" w:lineRule="auto"/>
        <w:tabs>
          <w:tab w:leader="none" w:pos="66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difficulties in establishing and/or maintaining uniform standards, systems, controls, procedures and policies, including accounting and financial reporting, across both of the integrated companies, or merging or linking disparate ones;</w:t>
      </w:r>
    </w:p>
    <w:p>
      <w:pPr>
        <w:spacing w:after="0" w:line="1" w:lineRule="exact"/>
        <w:rPr>
          <w:rFonts w:ascii="Times New Roman" w:cs="Times New Roman" w:eastAsia="Times New Roman" w:hAnsi="Times New Roman"/>
          <w:sz w:val="21"/>
          <w:szCs w:val="21"/>
          <w:color w:val="auto"/>
        </w:rPr>
      </w:pPr>
    </w:p>
    <w:p>
      <w:pPr>
        <w:ind w:left="660" w:right="180" w:hanging="328"/>
        <w:spacing w:after="0" w:line="217"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potential impairment of relationships with employees and partners as a result of any integration of new management personnel;</w:t>
      </w:r>
    </w:p>
    <w:p>
      <w:pPr>
        <w:spacing w:after="0" w:line="1" w:lineRule="exact"/>
        <w:rPr>
          <w:rFonts w:ascii="Times New Roman" w:cs="Times New Roman" w:eastAsia="Times New Roman" w:hAnsi="Times New Roman"/>
          <w:sz w:val="22"/>
          <w:szCs w:val="22"/>
          <w:color w:val="auto"/>
        </w:rPr>
      </w:pPr>
    </w:p>
    <w:p>
      <w:pPr>
        <w:ind w:left="660" w:hanging="328"/>
        <w:spacing w:after="0" w:line="217"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potential inability to manage an increased number of locations and employees; and</w:t>
      </w:r>
    </w:p>
    <w:p>
      <w:pPr>
        <w:ind w:left="660" w:right="400" w:hanging="328"/>
        <w:spacing w:after="0" w:line="237"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of any government regulations which relate to our business, including with respect to jurisdictions in which American Water’s regulated businesses currently do not operate.</w:t>
      </w:r>
    </w:p>
    <w:p>
      <w:pPr>
        <w:spacing w:after="0" w:line="178"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color w:val="auto"/>
        </w:rPr>
        <w:t>It is possible that the integration process could take longer than anticipated and could result in the loss of valuable employees, the disruption of each company’s ongoing businesses, processes and systems or inconsistencies in standards, controls, procedures, practices, policies and compensation arrangements, any of which could adversely affect the combined company’s ability to achieve the anticipated benefits of the Merger as and when expected. The combined company may have difficulty addressing possible differences in corporate cultures and management philosophies, and the various management and corporate governance constructs provided for in the Merger Agreement to govern the combined company, including with respect to the board of directors of the combined company, may not operate successfully as intended or desired. Failure to achieve these anticipated benefits could result in increased costs or decreases in the amount of expected</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right="580"/>
        <w:spacing w:after="0" w:line="245" w:lineRule="auto"/>
        <w:rPr>
          <w:sz w:val="20"/>
          <w:szCs w:val="20"/>
          <w:color w:val="auto"/>
        </w:rPr>
      </w:pPr>
      <w:r>
        <w:rPr>
          <w:rFonts w:ascii="Times New Roman" w:cs="Times New Roman" w:eastAsia="Times New Roman" w:hAnsi="Times New Roman"/>
          <w:sz w:val="22"/>
          <w:szCs w:val="22"/>
          <w:color w:val="auto"/>
        </w:rPr>
        <w:t>revenues and otherwise adversely affect the combined company’s future business, financial condition, operating results and prospects.</w:t>
      </w:r>
    </w:p>
    <w:p>
      <w:pPr>
        <w:spacing w:after="0" w:line="166"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The companies may incur substantial and/or unexpected transaction fees and Merger-related costs in connection with the Merger.</w:t>
      </w:r>
    </w:p>
    <w:p>
      <w:pPr>
        <w:spacing w:after="0" w:line="15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1"/>
          <w:szCs w:val="21"/>
          <w:color w:val="auto"/>
        </w:rPr>
        <w:t>We and American Water expect to incur substantial non-recurring expenses associated with completing the Merger, as well as expenses related to combining the operations of the two companies. The combined company may incur additional unanticipated costs in the integration of the companies’ businesses. Although we expect that the elimination of certain duplicative costs, as well as the realization of other efficiencies related to the integration of the two businesses, will offset some or all of the incremental transaction and Merger-related costs over time, the combined company may not achieve this net benefit in the near term, or at all.</w:t>
      </w:r>
    </w:p>
    <w:p>
      <w:pPr>
        <w:spacing w:after="0" w:line="186"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Current shareholders of each company will have reduced ownership and voting interests in their respective companies after the Merger.</w:t>
      </w:r>
    </w:p>
    <w:p>
      <w:pPr>
        <w:spacing w:after="0" w:line="179"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22"/>
          <w:szCs w:val="22"/>
          <w:color w:val="auto"/>
        </w:rPr>
        <w:t>It is estimated that our current shareholders and American Water’s shareholders would own approximately 31% and 69% of the outstanding shares of American Water Common Stock, respectively, on a fully diluted basis immediately following the consummation of the Merger. Our and American Water’s shareholders currently have the right to vote for their respective directors and on other matters affecting their company. If the Merger occurs, each shareholder of the Company who receives shares of American Water Common Stock will become a shareholder of American Water with a percentage ownership of the combined company that will be smaller than the shareholder’s percentage ownership of the Company. Correspondingly, upon the completion of the Merger, each holder of American Water Common Stock will remain a shareholder of American Water but with a percentage ownership of the combined company that will be smaller than the shareholder’s percentage of ownership immediately prior to the Merger. As a result of these reduced ownership percentages, our former shareholders will have less voting power in the combined company than they now have with respect to the Company, and American Water’s shareholders will have less voting power in the combined company than they now have with respect to American Water.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5 -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Security Trading Plans of Directors and Executive Officers</w:t>
      </w:r>
    </w:p>
    <w:p>
      <w:pPr>
        <w:spacing w:after="0" w:line="22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During the quarter ended September 30, 2025,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 except as follows:</w:t>
      </w: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2140" w:type="dxa"/>
            <w:vAlign w:val="bottom"/>
            <w:vMerge w:val="restart"/>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9"/>
              </w:rPr>
              <w:t>Character of Trading</w:t>
            </w:r>
          </w:p>
        </w:tc>
        <w:tc>
          <w:tcPr>
            <w:tcW w:w="1920" w:type="dxa"/>
            <w:vAlign w:val="bottom"/>
            <w:vMerge w:val="restart"/>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2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to be Purchased/Sold</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2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Pursuant to Trading</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Name &amp; Title</w:t>
            </w:r>
          </w:p>
        </w:tc>
        <w:tc>
          <w:tcPr>
            <w:tcW w:w="214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920" w:type="dxa"/>
            <w:vAlign w:val="bottom"/>
            <w:tcBorders>
              <w:bottom w:val="single" w:sz="8" w:color="auto"/>
            </w:tcBorders>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1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Duration of Plan</w:t>
            </w:r>
          </w:p>
        </w:tc>
        <w:tc>
          <w:tcPr>
            <w:tcW w:w="0" w:type="dxa"/>
            <w:vAlign w:val="bottom"/>
          </w:tcPr>
          <w:p>
            <w:pPr>
              <w:spacing w:after="0"/>
              <w:rPr>
                <w:sz w:val="1"/>
                <w:szCs w:val="1"/>
                <w:color w:val="auto"/>
              </w:rPr>
            </w:pPr>
          </w:p>
        </w:tc>
      </w:tr>
      <w:tr>
        <w:trPr>
          <w:trHeight w:val="151"/>
        </w:trPr>
        <w:tc>
          <w:tcPr>
            <w:tcW w:w="27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auto"/>
              </w:rPr>
              <w:t>Christopher Luning,</w:t>
            </w:r>
          </w:p>
        </w:tc>
        <w:tc>
          <w:tcPr>
            <w:tcW w:w="21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7"/>
                <w:szCs w:val="17"/>
                <w:color w:val="auto"/>
              </w:rPr>
              <w:t>Rule 10b5-1(c) Trading</w:t>
            </w:r>
          </w:p>
        </w:tc>
        <w:tc>
          <w:tcPr>
            <w:tcW w:w="192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7"/>
                <w:szCs w:val="17"/>
                <w:color w:val="auto"/>
              </w:rPr>
              <w:t>Terminated -</w:t>
            </w:r>
          </w:p>
        </w:tc>
        <w:tc>
          <w:tcPr>
            <w:tcW w:w="232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7"/>
                <w:szCs w:val="17"/>
                <w:color w:val="auto"/>
              </w:rPr>
              <w:t>Up to 24,224 shares to be</w:t>
            </w:r>
          </w:p>
        </w:tc>
        <w:tc>
          <w:tcPr>
            <w:tcW w:w="2100" w:type="dxa"/>
            <w:vAlign w:val="bottom"/>
            <w:shd w:val="clear" w:color="auto" w:fill="CCEEFF"/>
          </w:tcPr>
          <w:p>
            <w:pPr>
              <w:jc w:val="right"/>
              <w:ind w:right="153"/>
              <w:spacing w:after="0" w:line="150" w:lineRule="exact"/>
              <w:rPr>
                <w:sz w:val="20"/>
                <w:szCs w:val="20"/>
                <w:color w:val="auto"/>
              </w:rPr>
            </w:pPr>
            <w:r>
              <w:rPr>
                <w:rFonts w:ascii="Times New Roman" w:cs="Times New Roman" w:eastAsia="Times New Roman" w:hAnsi="Times New Roman"/>
                <w:sz w:val="17"/>
                <w:szCs w:val="17"/>
                <w:color w:val="auto"/>
              </w:rPr>
              <w:t>6/13/2025 - 12/15/2025</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Executive Vice President &amp; General</w:t>
            </w:r>
          </w:p>
        </w:tc>
        <w:tc>
          <w:tcPr>
            <w:tcW w:w="214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Arrangement</w:t>
            </w:r>
          </w:p>
        </w:tc>
        <w:tc>
          <w:tcPr>
            <w:tcW w:w="19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August 28, 2025</w:t>
            </w:r>
          </w:p>
        </w:tc>
        <w:tc>
          <w:tcPr>
            <w:tcW w:w="23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sold</w:t>
            </w: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Counsel</w:t>
            </w:r>
          </w:p>
        </w:tc>
        <w:tc>
          <w:tcPr>
            <w:tcW w:w="21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 – Exhibits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80" w:type="dxa"/>
            <w:vAlign w:val="bottom"/>
          </w:tcPr>
          <w:p>
            <w:pPr>
              <w:spacing w:after="0"/>
              <w:rPr>
                <w:sz w:val="20"/>
                <w:szCs w:val="20"/>
                <w:color w:val="auto"/>
              </w:rPr>
            </w:pPr>
          </w:p>
        </w:tc>
        <w:tc>
          <w:tcPr>
            <w:tcW w:w="900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spacing w:after="0"/>
              <w:rPr>
                <w:sz w:val="14"/>
                <w:szCs w:val="14"/>
                <w:color w:val="auto"/>
              </w:rPr>
            </w:pPr>
          </w:p>
        </w:tc>
        <w:tc>
          <w:tcPr>
            <w:tcW w:w="9680" w:type="dxa"/>
            <w:vAlign w:val="bottom"/>
            <w:gridSpan w:val="12"/>
            <w:shd w:val="clear" w:color="auto" w:fill="CCEEFF"/>
          </w:tcPr>
          <w:p>
            <w:pPr>
              <w:ind w:left="680"/>
              <w:spacing w:after="0" w:line="162" w:lineRule="exact"/>
              <w:rPr>
                <w:rFonts w:ascii="Times New Roman" w:cs="Times New Roman" w:eastAsia="Times New Roman" w:hAnsi="Times New Roman"/>
                <w:sz w:val="18"/>
                <w:szCs w:val="18"/>
                <w:color w:val="0563C1"/>
              </w:rPr>
            </w:pPr>
            <w:hyperlink r:id="rId66">
              <w:r>
                <w:rPr>
                  <w:rFonts w:ascii="Times New Roman" w:cs="Times New Roman" w:eastAsia="Times New Roman" w:hAnsi="Times New Roman"/>
                  <w:sz w:val="18"/>
                  <w:szCs w:val="18"/>
                  <w:color w:val="0563C1"/>
                </w:rPr>
                <w:t>Agreement and Plan of Merger by and among American Water Works Company, Inc., Alpha Merger Sub, Inc. and Essential</w:t>
              </w:r>
            </w:hyperlink>
          </w:p>
        </w:tc>
        <w:tc>
          <w:tcPr>
            <w:tcW w:w="0" w:type="dxa"/>
            <w:vAlign w:val="bottom"/>
          </w:tcPr>
          <w:p>
            <w:pPr>
              <w:spacing w:after="0"/>
              <w:rPr>
                <w:sz w:val="1"/>
                <w:szCs w:val="1"/>
                <w:color w:val="auto"/>
              </w:rPr>
            </w:pPr>
          </w:p>
        </w:tc>
      </w:tr>
      <w:tr>
        <w:trPr>
          <w:trHeight w:val="169"/>
        </w:trPr>
        <w:tc>
          <w:tcPr>
            <w:tcW w:w="15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563C1"/>
            </w:tcBorders>
            <w:gridSpan w:val="10"/>
            <w:shd w:val="clear" w:color="auto" w:fill="CCEEFF"/>
          </w:tcPr>
          <w:p>
            <w:pPr>
              <w:spacing w:after="0" w:line="169" w:lineRule="exact"/>
              <w:rPr>
                <w:rFonts w:ascii="Times New Roman" w:cs="Times New Roman" w:eastAsia="Times New Roman" w:hAnsi="Times New Roman"/>
                <w:sz w:val="18"/>
                <w:szCs w:val="18"/>
                <w:color w:val="0563C1"/>
              </w:rPr>
            </w:pPr>
            <w:hyperlink r:id="rId66">
              <w:r>
                <w:rPr>
                  <w:rFonts w:ascii="Times New Roman" w:cs="Times New Roman" w:eastAsia="Times New Roman" w:hAnsi="Times New Roman"/>
                  <w:sz w:val="18"/>
                  <w:szCs w:val="18"/>
                  <w:color w:val="0563C1"/>
                </w:rPr>
                <w:t>Utilities, Inc., dated as of October 26, 2025 (incorporated by reference to Exhibit 2.1 of the Company’s Current Report on</w:t>
              </w:r>
            </w:hyperlink>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60" w:type="dxa"/>
            <w:vAlign w:val="bottom"/>
            <w:tcBorders>
              <w:top w:val="single" w:sz="8" w:color="CCEEFF"/>
            </w:tcBorders>
            <w:vMerge w:val="continue"/>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820" w:type="dxa"/>
            <w:vAlign w:val="bottom"/>
            <w:tcBorders>
              <w:top w:val="single" w:sz="8" w:color="0563C1"/>
            </w:tcBorders>
            <w:gridSpan w:val="9"/>
            <w:shd w:val="clear" w:color="auto" w:fill="CCEEFF"/>
          </w:tcPr>
          <w:p>
            <w:pPr>
              <w:spacing w:after="0" w:line="182" w:lineRule="exact"/>
              <w:rPr>
                <w:rFonts w:ascii="Times New Roman" w:cs="Times New Roman" w:eastAsia="Times New Roman" w:hAnsi="Times New Roman"/>
                <w:sz w:val="18"/>
                <w:szCs w:val="18"/>
                <w:color w:val="0563C1"/>
              </w:rPr>
            </w:pPr>
            <w:hyperlink r:id="rId66">
              <w:r>
                <w:rPr>
                  <w:rFonts w:ascii="Times New Roman" w:cs="Times New Roman" w:eastAsia="Times New Roman" w:hAnsi="Times New Roman"/>
                  <w:sz w:val="18"/>
                  <w:szCs w:val="18"/>
                  <w:color w:val="0563C1"/>
                </w:rPr>
                <w:t>Form 8-K, filed with the SEC on October 27, 2025)</w:t>
              </w:r>
            </w:hyperlink>
          </w:p>
        </w:tc>
        <w:tc>
          <w:tcPr>
            <w:tcW w:w="18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3720" w:type="dxa"/>
            <w:vAlign w:val="bottom"/>
            <w:tcBorders>
              <w:top w:val="single" w:sz="8" w:color="0563C1"/>
            </w:tcBorders>
          </w:tcPr>
          <w:p>
            <w:pPr>
              <w:spacing w:after="0"/>
              <w:rPr>
                <w:sz w:val="16"/>
                <w:szCs w:val="16"/>
                <w:color w:val="auto"/>
              </w:rPr>
            </w:pPr>
          </w:p>
        </w:tc>
        <w:tc>
          <w:tcPr>
            <w:tcW w:w="206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spacing w:after="0"/>
              <w:rPr>
                <w:sz w:val="14"/>
                <w:szCs w:val="14"/>
                <w:color w:val="auto"/>
              </w:rPr>
            </w:pPr>
          </w:p>
        </w:tc>
        <w:tc>
          <w:tcPr>
            <w:tcW w:w="9680" w:type="dxa"/>
            <w:vAlign w:val="bottom"/>
            <w:gridSpan w:val="12"/>
            <w:shd w:val="clear" w:color="auto" w:fill="CCEEFF"/>
          </w:tcPr>
          <w:p>
            <w:pPr>
              <w:ind w:left="680"/>
              <w:spacing w:after="0" w:line="162" w:lineRule="exact"/>
              <w:rPr>
                <w:rFonts w:ascii="Times New Roman" w:cs="Times New Roman" w:eastAsia="Times New Roman" w:hAnsi="Times New Roman"/>
                <w:sz w:val="18"/>
                <w:szCs w:val="18"/>
                <w:color w:val="0563C1"/>
              </w:rPr>
            </w:pPr>
            <w:hyperlink r:id="rId67">
              <w:r>
                <w:rPr>
                  <w:rFonts w:ascii="Times New Roman" w:cs="Times New Roman" w:eastAsia="Times New Roman" w:hAnsi="Times New Roman"/>
                  <w:sz w:val="18"/>
                  <w:szCs w:val="18"/>
                  <w:color w:val="0563C1"/>
                </w:rPr>
                <w:t>Ninth Supplemental Indenture, dated as of August 7, 2025, to Indenture Dated as of April 23, 2019, between Essential</w:t>
              </w:r>
            </w:hyperlink>
          </w:p>
        </w:tc>
        <w:tc>
          <w:tcPr>
            <w:tcW w:w="0" w:type="dxa"/>
            <w:vAlign w:val="bottom"/>
          </w:tcPr>
          <w:p>
            <w:pPr>
              <w:spacing w:after="0"/>
              <w:rPr>
                <w:sz w:val="1"/>
                <w:szCs w:val="1"/>
                <w:color w:val="auto"/>
              </w:rPr>
            </w:pPr>
          </w:p>
        </w:tc>
      </w:tr>
      <w:tr>
        <w:trPr>
          <w:trHeight w:val="169"/>
        </w:trPr>
        <w:tc>
          <w:tcPr>
            <w:tcW w:w="15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tcBorders>
              <w:top w:val="single" w:sz="8" w:color="CCEEFF"/>
            </w:tcBorders>
            <w:shd w:val="clear" w:color="auto" w:fill="CCEEFF"/>
          </w:tcPr>
          <w:p>
            <w:pPr>
              <w:spacing w:after="0"/>
              <w:rPr>
                <w:sz w:val="14"/>
                <w:szCs w:val="14"/>
                <w:color w:val="auto"/>
              </w:rPr>
            </w:pPr>
          </w:p>
        </w:tc>
        <w:tc>
          <w:tcPr>
            <w:tcW w:w="8560" w:type="dxa"/>
            <w:vAlign w:val="bottom"/>
            <w:tcBorders>
              <w:top w:val="single" w:sz="8" w:color="0563C1"/>
            </w:tcBorders>
            <w:gridSpan w:val="6"/>
            <w:shd w:val="clear" w:color="auto" w:fill="CCEEFF"/>
          </w:tcPr>
          <w:p>
            <w:pPr>
              <w:spacing w:after="0" w:line="169" w:lineRule="exact"/>
              <w:rPr>
                <w:rFonts w:ascii="Times New Roman" w:cs="Times New Roman" w:eastAsia="Times New Roman" w:hAnsi="Times New Roman"/>
                <w:sz w:val="18"/>
                <w:szCs w:val="18"/>
                <w:color w:val="0563C1"/>
              </w:rPr>
            </w:pPr>
            <w:hyperlink r:id="rId67">
              <w:r>
                <w:rPr>
                  <w:rFonts w:ascii="Times New Roman" w:cs="Times New Roman" w:eastAsia="Times New Roman" w:hAnsi="Times New Roman"/>
                  <w:sz w:val="18"/>
                  <w:szCs w:val="18"/>
                  <w:color w:val="0563C1"/>
                </w:rPr>
                <w:t>Utilities, Inc. and U.S. Bank Trust Company, National Association (incorporated by reference to Exhibit 4.3 to the</w:t>
              </w:r>
            </w:hyperlink>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60" w:type="dxa"/>
            <w:vAlign w:val="bottom"/>
            <w:tcBorders>
              <w:top w:val="single" w:sz="8" w:color="CCEEFF"/>
            </w:tcBorders>
            <w:vMerge w:val="continue"/>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260" w:type="dxa"/>
            <w:vAlign w:val="bottom"/>
            <w:tcBorders>
              <w:top w:val="single" w:sz="8" w:color="0563C1"/>
            </w:tcBorders>
            <w:gridSpan w:val="5"/>
            <w:shd w:val="clear" w:color="auto" w:fill="CCEEFF"/>
          </w:tcPr>
          <w:p>
            <w:pPr>
              <w:spacing w:after="0" w:line="182" w:lineRule="exact"/>
              <w:rPr>
                <w:rFonts w:ascii="Times New Roman" w:cs="Times New Roman" w:eastAsia="Times New Roman" w:hAnsi="Times New Roman"/>
                <w:sz w:val="18"/>
                <w:szCs w:val="18"/>
                <w:color w:val="0563C1"/>
              </w:rPr>
            </w:pPr>
            <w:hyperlink r:id="rId67">
              <w:r>
                <w:rPr>
                  <w:rFonts w:ascii="Times New Roman" w:cs="Times New Roman" w:eastAsia="Times New Roman" w:hAnsi="Times New Roman"/>
                  <w:sz w:val="18"/>
                  <w:szCs w:val="18"/>
                  <w:color w:val="0563C1"/>
                </w:rPr>
                <w:t>Company’s Current Report on Form 8-K, filed with the SEC on August 7, 2025)</w:t>
              </w:r>
            </w:hyperlink>
          </w:p>
        </w:tc>
        <w:tc>
          <w:tcPr>
            <w:tcW w:w="38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3720" w:type="dxa"/>
            <w:vAlign w:val="bottom"/>
            <w:tcBorders>
              <w:top w:val="single" w:sz="8" w:color="0563C1"/>
            </w:tcBorders>
          </w:tcPr>
          <w:p>
            <w:pPr>
              <w:spacing w:after="0"/>
              <w:rPr>
                <w:sz w:val="16"/>
                <w:szCs w:val="16"/>
                <w:color w:val="auto"/>
              </w:rPr>
            </w:pPr>
          </w:p>
        </w:tc>
        <w:tc>
          <w:tcPr>
            <w:tcW w:w="2060" w:type="dxa"/>
            <w:vAlign w:val="bottom"/>
            <w:tcBorders>
              <w:top w:val="single" w:sz="8" w:color="0563C1"/>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9680" w:type="dxa"/>
            <w:vAlign w:val="bottom"/>
            <w:gridSpan w:val="12"/>
            <w:shd w:val="clear" w:color="auto" w:fill="CCEEFF"/>
          </w:tcPr>
          <w:p>
            <w:pPr>
              <w:ind w:left="680"/>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filed pursuant to Rule 13a-14(a) under the Securities and Exchange Act of 1934</w:t>
            </w:r>
          </w:p>
        </w:tc>
        <w:tc>
          <w:tcPr>
            <w:tcW w:w="0" w:type="dxa"/>
            <w:vAlign w:val="bottom"/>
          </w:tcPr>
          <w:p>
            <w:pPr>
              <w:spacing w:after="0"/>
              <w:rPr>
                <w:sz w:val="1"/>
                <w:szCs w:val="1"/>
                <w:color w:val="auto"/>
              </w:rPr>
            </w:pPr>
          </w:p>
        </w:tc>
      </w:tr>
      <w:tr>
        <w:trPr>
          <w:trHeight w:val="229"/>
        </w:trPr>
        <w:tc>
          <w:tcPr>
            <w:tcW w:w="15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720" w:type="dxa"/>
            <w:vAlign w:val="bottom"/>
            <w:tcBorders>
              <w:top w:val="single" w:sz="8" w:color="0563C1"/>
            </w:tcBorders>
          </w:tcPr>
          <w:p>
            <w:pPr>
              <w:spacing w:after="0"/>
              <w:rPr>
                <w:sz w:val="19"/>
                <w:szCs w:val="19"/>
                <w:color w:val="auto"/>
              </w:rPr>
            </w:pPr>
          </w:p>
        </w:tc>
        <w:tc>
          <w:tcPr>
            <w:tcW w:w="20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9680" w:type="dxa"/>
            <w:vAlign w:val="bottom"/>
            <w:gridSpan w:val="12"/>
            <w:shd w:val="clear" w:color="auto" w:fill="CCEEFF"/>
          </w:tcPr>
          <w:p>
            <w:pPr>
              <w:ind w:left="680"/>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filed pursuant to Rule 13a-14(a) under the Securities and Exchange Act of 1934</w:t>
            </w:r>
          </w:p>
        </w:tc>
        <w:tc>
          <w:tcPr>
            <w:tcW w:w="0" w:type="dxa"/>
            <w:vAlign w:val="bottom"/>
          </w:tcPr>
          <w:p>
            <w:pPr>
              <w:spacing w:after="0"/>
              <w:rPr>
                <w:sz w:val="1"/>
                <w:szCs w:val="1"/>
                <w:color w:val="auto"/>
              </w:rPr>
            </w:pPr>
          </w:p>
        </w:tc>
      </w:tr>
      <w:tr>
        <w:trPr>
          <w:trHeight w:val="230"/>
        </w:trPr>
        <w:tc>
          <w:tcPr>
            <w:tcW w:w="15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720" w:type="dxa"/>
            <w:vAlign w:val="bottom"/>
            <w:tcBorders>
              <w:top w:val="single" w:sz="8" w:color="0563C1"/>
            </w:tcBorders>
          </w:tcPr>
          <w:p>
            <w:pPr>
              <w:spacing w:after="0"/>
              <w:rPr>
                <w:sz w:val="19"/>
                <w:szCs w:val="19"/>
                <w:color w:val="auto"/>
              </w:rPr>
            </w:pPr>
          </w:p>
        </w:tc>
        <w:tc>
          <w:tcPr>
            <w:tcW w:w="20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32.1*</w:t>
            </w:r>
          </w:p>
        </w:tc>
        <w:tc>
          <w:tcPr>
            <w:tcW w:w="9680" w:type="dxa"/>
            <w:vAlign w:val="bottom"/>
            <w:gridSpan w:val="12"/>
            <w:shd w:val="clear" w:color="auto" w:fill="CCEEFF"/>
          </w:tcPr>
          <w:p>
            <w:pPr>
              <w:ind w:left="680"/>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furnished pursuant to 18 U.S.C. Section 1350</w:t>
            </w:r>
          </w:p>
        </w:tc>
        <w:tc>
          <w:tcPr>
            <w:tcW w:w="0" w:type="dxa"/>
            <w:vAlign w:val="bottom"/>
          </w:tcPr>
          <w:p>
            <w:pPr>
              <w:spacing w:after="0"/>
              <w:rPr>
                <w:sz w:val="1"/>
                <w:szCs w:val="1"/>
                <w:color w:val="auto"/>
              </w:rPr>
            </w:pPr>
          </w:p>
        </w:tc>
      </w:tr>
      <w:tr>
        <w:trPr>
          <w:trHeight w:val="230"/>
        </w:trPr>
        <w:tc>
          <w:tcPr>
            <w:tcW w:w="15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720" w:type="dxa"/>
            <w:vAlign w:val="bottom"/>
            <w:tcBorders>
              <w:top w:val="single" w:sz="8" w:color="0563C1"/>
            </w:tcBorders>
          </w:tcPr>
          <w:p>
            <w:pPr>
              <w:spacing w:after="0"/>
              <w:rPr>
                <w:sz w:val="19"/>
                <w:szCs w:val="19"/>
                <w:color w:val="auto"/>
              </w:rPr>
            </w:pPr>
          </w:p>
        </w:tc>
        <w:tc>
          <w:tcPr>
            <w:tcW w:w="20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32.2*</w:t>
            </w:r>
          </w:p>
        </w:tc>
        <w:tc>
          <w:tcPr>
            <w:tcW w:w="9680" w:type="dxa"/>
            <w:vAlign w:val="bottom"/>
            <w:gridSpan w:val="12"/>
            <w:shd w:val="clear" w:color="auto" w:fill="CCEEFF"/>
          </w:tcPr>
          <w:p>
            <w:pPr>
              <w:ind w:left="680"/>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furnished pursuant to 18 U.S.C. Section 1350</w:t>
            </w:r>
          </w:p>
        </w:tc>
        <w:tc>
          <w:tcPr>
            <w:tcW w:w="0" w:type="dxa"/>
            <w:vAlign w:val="bottom"/>
          </w:tcPr>
          <w:p>
            <w:pPr>
              <w:spacing w:after="0"/>
              <w:rPr>
                <w:sz w:val="1"/>
                <w:szCs w:val="1"/>
                <w:color w:val="auto"/>
              </w:rPr>
            </w:pPr>
          </w:p>
        </w:tc>
      </w:tr>
      <w:tr>
        <w:trPr>
          <w:trHeight w:val="229"/>
        </w:trPr>
        <w:tc>
          <w:tcPr>
            <w:tcW w:w="15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720" w:type="dxa"/>
            <w:vAlign w:val="bottom"/>
            <w:tcBorders>
              <w:top w:val="single" w:sz="8" w:color="0563C1"/>
            </w:tcBorders>
          </w:tcPr>
          <w:p>
            <w:pPr>
              <w:spacing w:after="0"/>
              <w:rPr>
                <w:sz w:val="19"/>
                <w:szCs w:val="19"/>
                <w:color w:val="auto"/>
              </w:rPr>
            </w:pPr>
          </w:p>
        </w:tc>
        <w:tc>
          <w:tcPr>
            <w:tcW w:w="20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5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101.INS</w:t>
            </w:r>
          </w:p>
        </w:tc>
        <w:tc>
          <w:tcPr>
            <w:tcW w:w="9680" w:type="dxa"/>
            <w:vAlign w:val="bottom"/>
            <w:gridSpan w:val="12"/>
            <w:shd w:val="clear" w:color="auto" w:fill="CCEEFF"/>
          </w:tcPr>
          <w:p>
            <w:pPr>
              <w:ind w:left="680"/>
              <w:spacing w:after="0" w:line="15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spacing w:after="0"/>
              <w:rPr>
                <w:sz w:val="20"/>
                <w:szCs w:val="20"/>
                <w:color w:val="auto"/>
              </w:rPr>
            </w:pPr>
          </w:p>
        </w:tc>
        <w:tc>
          <w:tcPr>
            <w:tcW w:w="9680" w:type="dxa"/>
            <w:vAlign w:val="bottom"/>
            <w:gridSpan w:val="1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12"/>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9680" w:type="dxa"/>
            <w:vAlign w:val="bottom"/>
            <w:gridSpan w:val="12"/>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9680" w:type="dxa"/>
            <w:vAlign w:val="bottom"/>
            <w:gridSpan w:val="12"/>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9680" w:type="dxa"/>
            <w:vAlign w:val="bottom"/>
            <w:gridSpan w:val="12"/>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101.PRES</w:t>
            </w:r>
          </w:p>
        </w:tc>
        <w:tc>
          <w:tcPr>
            <w:tcW w:w="9680" w:type="dxa"/>
            <w:vAlign w:val="bottom"/>
            <w:gridSpan w:val="12"/>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104</w:t>
            </w:r>
          </w:p>
        </w:tc>
        <w:tc>
          <w:tcPr>
            <w:tcW w:w="9680" w:type="dxa"/>
            <w:vAlign w:val="bottom"/>
            <w:gridSpan w:val="12"/>
            <w:shd w:val="clear" w:color="auto" w:fill="CCEEFF"/>
          </w:tcPr>
          <w:p>
            <w:pPr>
              <w:ind w:left="680"/>
              <w:spacing w:after="0" w:line="157" w:lineRule="exact"/>
              <w:rPr>
                <w:sz w:val="20"/>
                <w:szCs w:val="20"/>
                <w:color w:val="auto"/>
              </w:rPr>
            </w:pPr>
            <w:r>
              <w:rPr>
                <w:rFonts w:ascii="Times New Roman" w:cs="Times New Roman" w:eastAsia="Times New Roman" w:hAnsi="Times New Roman"/>
                <w:sz w:val="18"/>
                <w:szCs w:val="18"/>
                <w:color w:val="auto"/>
                <w:w w:val="99"/>
              </w:rPr>
              <w:t>The cover page from the Company’s Quarterly Report on Form 10-Q for the quarter ended September 30, 2025, formatted in</w:t>
            </w: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spacing w:after="0"/>
              <w:rPr>
                <w:sz w:val="20"/>
                <w:szCs w:val="20"/>
                <w:color w:val="auto"/>
              </w:rPr>
            </w:pPr>
          </w:p>
        </w:tc>
        <w:tc>
          <w:tcPr>
            <w:tcW w:w="9680" w:type="dxa"/>
            <w:vAlign w:val="bottom"/>
            <w:gridSpan w:val="1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Inline XBRL (included in Exhibit 101)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*Filed herewith.</w:t>
      </w:r>
    </w:p>
    <w:p>
      <w:pPr>
        <w:spacing w:after="0" w:line="58" w:lineRule="exact"/>
        <w:rPr>
          <w:sz w:val="20"/>
          <w:szCs w:val="20"/>
          <w:color w:val="auto"/>
        </w:rPr>
      </w:pPr>
    </w:p>
    <w:p>
      <w:pPr>
        <w:ind w:right="740" w:firstLine="8"/>
        <w:spacing w:after="0" w:line="184" w:lineRule="auto"/>
        <w:tabs>
          <w:tab w:leader="none" w:pos="135"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Certain schedules and exhibits to this agreement have been omitted as permitted by rules or regulations of the SEC. The Company will furnish the omitted schedules and exhibits to the SEC upon request.</w:t>
      </w:r>
    </w:p>
    <w:p>
      <w:pPr>
        <w:spacing w:after="0" w:line="177"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22"/>
          <w:szCs w:val="22"/>
          <w:color w:val="auto"/>
        </w:rPr>
        <w:t>The Merger Agreement filed as Exhibit 2.1 herewith has been included to provide investors and security holders with information regarding its terms. It is not intended to provide any other factual information about American Water or the Company, or any of their or our respective subsidiaries or affiliates. The representations, warranties and covenants contained in the Merger Agreement (i) were made by the parties thereto only for purposes of that agreement and as of specific dates; (ii) were made solely for the benefit of the parties to the Merger Agreement; (iii) may be subject to limitations agreed upon by the contracting parties, including being qualified by confidential disclosure schedules exchanged between the parties in connection with the execution of the Merger Agreement (such disclosure schedules having included information in each party’s public disclosures, as well as additional non-public information); (iv) may have been made for the purposes of allocating contractual risk between the parties to the Merger Agreement instead of establishing these matters as facts; and (v) may be subject to standards of materiality applicable to the contracting parties that differ from those applicable to investors.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2"/>
          <w:szCs w:val="22"/>
          <w:color w:val="auto"/>
        </w:rPr>
        <w:t>Investors should not rely on the representations, warranties and covenants or any descriptions thereof as characterizations of the actual state of facts or condition of American Water or the Company, or any of their or our respective subsidiaries or affiliates. Additionally, the representations, warranties, covenants, conditions and other terms of the Merger Agreement may be subject to subsequent waiver or modification. Moreover, information concerning the subject matter of the representations, warranties and covenants may change after the date of the Merger Agreement, which subsequent information may or may not be fully reflected in the Company’s public disclosures. The Merger Agreement should not be read alone, but should instead be read in conjunction with the other information regarding the Company that is or will be contained in, or incorporated by reference into, the reports and other documents that are or to be filed by the Company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SIGNATURES</w:t>
      </w:r>
    </w:p>
    <w:p>
      <w:pPr>
        <w:spacing w:after="0" w:line="8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executed on its behalf by the undersigned thereunto duly authorized.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5, 2025</w:t>
      </w:r>
    </w:p>
    <w:p>
      <w:pPr>
        <w:spacing w:after="0" w:line="17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Christopher H. Franklin</w:t>
      </w:r>
    </w:p>
    <w:p>
      <w:pPr>
        <w:ind w:left="6300"/>
        <w:spacing w:after="0" w:line="217" w:lineRule="auto"/>
        <w:rPr>
          <w:sz w:val="20"/>
          <w:szCs w:val="20"/>
          <w:color w:val="auto"/>
        </w:rPr>
      </w:pPr>
      <w:r>
        <w:rPr>
          <w:rFonts w:ascii="Times New Roman" w:cs="Times New Roman" w:eastAsia="Times New Roman" w:hAnsi="Times New Roman"/>
          <w:sz w:val="22"/>
          <w:szCs w:val="22"/>
          <w:color w:val="auto"/>
        </w:rPr>
        <w:t>Chairman,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Daniel J. Schuller</w:t>
      </w:r>
    </w:p>
    <w:p>
      <w:pPr>
        <w:ind w:left="6300"/>
        <w:spacing w:after="0" w:line="217"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100"/>
          </w:cols>
          <w:pgMar w:left="320" w:top="112" w:right="479" w:bottom="1440" w:gutter="0" w:footer="0" w:header="0"/>
        </w:sectPr>
      </w:pPr>
    </w:p>
    <w:bookmarkStart w:id="56" w:name="page57"/>
    <w:bookmarkEnd w:id="56"/>
    <w:p>
      <w:pPr>
        <w:ind w:left="890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607060</wp:posOffset>
            </wp:positionH>
            <wp:positionV relativeFrom="page">
              <wp:posOffset>6436995</wp:posOffset>
            </wp:positionV>
            <wp:extent cx="635190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351905" cy="51435"/>
                    </a:xfrm>
                    <a:prstGeom prst="rect">
                      <a:avLst/>
                    </a:prstGeom>
                    <a:noFill/>
                  </pic:spPr>
                </pic:pic>
              </a:graphicData>
            </a:graphic>
          </wp:anchor>
        </w:drawing>
        <w:t>Exhibit 31.1</w:t>
      </w:r>
    </w:p>
    <w:p>
      <w:pPr>
        <w:spacing w:after="0" w:line="149"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UNDER THE SECURITIES</w:t>
      </w:r>
    </w:p>
    <w:p>
      <w:pPr>
        <w:spacing w:after="0" w:line="6"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70" w:lineRule="exact"/>
        <w:rPr>
          <w:sz w:val="20"/>
          <w:szCs w:val="20"/>
          <w:color w:val="auto"/>
        </w:rPr>
      </w:pPr>
    </w:p>
    <w:p>
      <w:pPr>
        <w:ind w:left="324" w:hanging="324"/>
        <w:spacing w:after="0"/>
        <w:tabs>
          <w:tab w:leader="none" w:pos="3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20" w:hanging="324"/>
        <w:spacing w:after="0" w:line="206" w:lineRule="auto"/>
        <w:tabs>
          <w:tab w:leader="none" w:pos="3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180" w:hanging="324"/>
        <w:spacing w:after="0" w:line="206" w:lineRule="auto"/>
        <w:tabs>
          <w:tab w:leader="none" w:pos="3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00" w:hanging="324"/>
        <w:spacing w:after="0" w:line="206" w:lineRule="auto"/>
        <w:tabs>
          <w:tab w:leader="none" w:pos="3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hanging="320"/>
        <w:spacing w:after="0" w:line="207" w:lineRule="auto"/>
        <w:tabs>
          <w:tab w:leader="none" w:pos="64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60" w:hanging="320"/>
        <w:spacing w:after="0" w:line="207" w:lineRule="auto"/>
        <w:tabs>
          <w:tab w:leader="none" w:pos="64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00" w:hanging="320"/>
        <w:spacing w:after="0" w:line="206" w:lineRule="auto"/>
        <w:tabs>
          <w:tab w:leader="none" w:pos="64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40" w:hanging="320"/>
        <w:spacing w:after="0" w:line="207" w:lineRule="auto"/>
        <w:tabs>
          <w:tab w:leader="none" w:pos="64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40" w:hanging="324"/>
        <w:spacing w:after="0" w:line="206" w:lineRule="auto"/>
        <w:tabs>
          <w:tab w:leader="none" w:pos="3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00" w:hanging="320"/>
        <w:spacing w:after="0" w:line="206" w:lineRule="auto"/>
        <w:tabs>
          <w:tab w:leader="none" w:pos="64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80" w:hanging="320"/>
        <w:spacing w:after="0" w:line="221" w:lineRule="auto"/>
        <w:tabs>
          <w:tab w:leader="none" w:pos="64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30861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ind w:left="124"/>
        <w:spacing w:after="0" w:line="193" w:lineRule="auto"/>
        <w:rPr>
          <w:sz w:val="20"/>
          <w:szCs w:val="20"/>
          <w:color w:val="auto"/>
        </w:rPr>
      </w:pPr>
      <w:r>
        <w:rPr>
          <w:rFonts w:ascii="Times New Roman" w:cs="Times New Roman" w:eastAsia="Times New Roman" w:hAnsi="Times New Roman"/>
          <w:sz w:val="19"/>
          <w:szCs w:val="19"/>
          <w:color w:val="auto"/>
        </w:rPr>
        <w:t>November 5, 2025</w:t>
      </w:r>
    </w:p>
    <w:p>
      <w:pPr>
        <w:sectPr>
          <w:pgSz w:w="11900" w:h="16838" w:orient="portrait"/>
          <w:cols w:equalWidth="0" w:num="1">
            <w:col w:w="9924"/>
          </w:cols>
          <w:pgMar w:left="976" w:top="76" w:right="9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56"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UNDER THE SECURITIES</w:t>
      </w:r>
    </w:p>
    <w:p>
      <w:pPr>
        <w:jc w:val="center"/>
        <w:ind w:right="9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70" w:lineRule="exact"/>
        <w:rPr>
          <w:sz w:val="20"/>
          <w:szCs w:val="20"/>
          <w:color w:val="auto"/>
        </w:rPr>
      </w:pPr>
    </w:p>
    <w:p>
      <w:pPr>
        <w:ind w:left="324" w:hanging="324"/>
        <w:spacing w:after="0"/>
        <w:tabs>
          <w:tab w:leader="none" w:pos="3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40" w:hanging="324"/>
        <w:spacing w:after="0" w:line="206" w:lineRule="auto"/>
        <w:tabs>
          <w:tab w:leader="none" w:pos="3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200" w:hanging="324"/>
        <w:spacing w:after="0" w:line="206" w:lineRule="auto"/>
        <w:tabs>
          <w:tab w:leader="none" w:pos="3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20" w:hanging="324"/>
        <w:spacing w:after="0" w:line="206" w:lineRule="auto"/>
        <w:tabs>
          <w:tab w:leader="none" w:pos="3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right="20" w:hanging="320"/>
        <w:spacing w:after="0" w:line="207" w:lineRule="auto"/>
        <w:tabs>
          <w:tab w:leader="none" w:pos="64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80" w:hanging="320"/>
        <w:spacing w:after="0" w:line="207" w:lineRule="auto"/>
        <w:tabs>
          <w:tab w:leader="none" w:pos="64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20" w:hanging="320"/>
        <w:spacing w:after="0" w:line="206" w:lineRule="auto"/>
        <w:tabs>
          <w:tab w:leader="none" w:pos="64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60" w:hanging="320"/>
        <w:spacing w:after="0" w:line="207" w:lineRule="auto"/>
        <w:tabs>
          <w:tab w:leader="none" w:pos="64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60" w:hanging="324"/>
        <w:spacing w:after="0" w:line="206" w:lineRule="auto"/>
        <w:tabs>
          <w:tab w:leader="none" w:pos="3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20" w:hanging="320"/>
        <w:spacing w:after="0" w:line="206" w:lineRule="auto"/>
        <w:tabs>
          <w:tab w:leader="none" w:pos="64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100" w:hanging="320"/>
        <w:spacing w:after="0" w:line="221" w:lineRule="auto"/>
        <w:tabs>
          <w:tab w:leader="none" w:pos="64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3089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04" w:right="97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EXECUTIVE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right="60"/>
        <w:spacing w:after="0" w:line="184"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September 30, 2025 of Essential Utilities,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45" w:lineRule="exact"/>
        <w:rPr>
          <w:sz w:val="20"/>
          <w:szCs w:val="20"/>
          <w:color w:val="auto"/>
        </w:rPr>
      </w:pPr>
    </w:p>
    <w:p>
      <w:pPr>
        <w:ind w:left="324" w:right="220" w:hanging="324"/>
        <w:spacing w:after="0" w:line="210" w:lineRule="auto"/>
        <w:tabs>
          <w:tab w:leader="none" w:pos="32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70" w:lineRule="exact"/>
        <w:rPr>
          <w:rFonts w:ascii="Times New Roman" w:cs="Times New Roman" w:eastAsia="Times New Roman" w:hAnsi="Times New Roman"/>
          <w:sz w:val="22"/>
          <w:szCs w:val="22"/>
          <w:color w:val="auto"/>
        </w:rPr>
      </w:pPr>
    </w:p>
    <w:p>
      <w:pPr>
        <w:ind w:left="324" w:right="320" w:hanging="324"/>
        <w:spacing w:after="0" w:line="217" w:lineRule="auto"/>
        <w:tabs>
          <w:tab w:leader="none" w:pos="32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9"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29571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635190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84"/>
          </w:cols>
          <w:pgMar w:left="976" w:top="72" w:right="10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color w:val="auto"/>
        </w:rPr>
        <w:t>Exhibit 32.2</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FINANCIAL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right="320"/>
        <w:spacing w:after="0" w:line="197" w:lineRule="auto"/>
        <w:rPr>
          <w:sz w:val="20"/>
          <w:szCs w:val="20"/>
          <w:color w:val="auto"/>
        </w:rPr>
      </w:pPr>
      <w:r>
        <w:rPr>
          <w:rFonts w:ascii="Times New Roman" w:cs="Times New Roman" w:eastAsia="Times New Roman" w:hAnsi="Times New Roman"/>
          <w:sz w:val="21"/>
          <w:szCs w:val="21"/>
          <w:color w:val="auto"/>
        </w:rPr>
        <w:t>In connection with the Quarterly Report on Form 10-Q for the period ended September 30, 2025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47" w:lineRule="exact"/>
        <w:rPr>
          <w:sz w:val="20"/>
          <w:szCs w:val="20"/>
          <w:color w:val="auto"/>
        </w:rPr>
      </w:pPr>
    </w:p>
    <w:p>
      <w:pPr>
        <w:ind w:left="324" w:right="220" w:hanging="324"/>
        <w:spacing w:after="0" w:line="217" w:lineRule="auto"/>
        <w:tabs>
          <w:tab w:leader="none" w:pos="32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20" w:hanging="324"/>
        <w:spacing w:after="0" w:line="210" w:lineRule="auto"/>
        <w:tabs>
          <w:tab w:leader="none" w:pos="32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4029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884"/>
      </w:cols>
      <w:pgMar w:left="976" w:top="72"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 "/>
      <w:numFmt w:val="bullet"/>
      <w:start w:val="1"/>
    </w:lvl>
  </w:abstractNum>
  <w:abstractNum w:abstractNumId="3">
    <w:nsid w:val="109CF92E"/>
    <w:multiLevelType w:val="hybridMultilevel"/>
    <w:lvl w:ilvl="0">
      <w:lvlJc w:val="left"/>
      <w:lvlText w:val=" "/>
      <w:numFmt w:val="bullet"/>
      <w:start w:val="1"/>
    </w:lvl>
  </w:abstractNum>
  <w:abstractNum w:abstractNumId="4">
    <w:nsid w:val="DED7263"/>
    <w:multiLevelType w:val="hybridMultilevel"/>
    <w:lvl w:ilvl="0">
      <w:lvlJc w:val="left"/>
      <w:lvlText w:val=" "/>
      <w:numFmt w:val="bullet"/>
      <w:start w:val="1"/>
    </w:lvl>
  </w:abstractNum>
  <w:abstractNum w:abstractNumId="5">
    <w:nsid w:val="7FDCC233"/>
    <w:multiLevelType w:val="hybridMultilevel"/>
    <w:lvl w:ilvl="0">
      <w:lvlJc w:val="left"/>
      <w:lvlText w:val=" "/>
      <w:numFmt w:val="bullet"/>
      <w:start w:val="1"/>
    </w:lvl>
  </w:abstractNum>
  <w:abstractNum w:abstractNumId="6">
    <w:nsid w:val="1BEFD79F"/>
    <w:multiLevelType w:val="hybridMultilevel"/>
    <w:lvl w:ilvl="0">
      <w:lvlJc w:val="left"/>
      <w:lvlText w:val=" "/>
      <w:numFmt w:val="bullet"/>
      <w:start w:val="1"/>
    </w:lvl>
  </w:abstractNum>
  <w:abstractNum w:abstractNumId="7">
    <w:nsid w:val="41A7C4C9"/>
    <w:multiLevelType w:val="hybridMultilevel"/>
    <w:lvl w:ilvl="0">
      <w:lvlJc w:val="left"/>
      <w:lvlText w:val=" "/>
      <w:numFmt w:val="bullet"/>
      <w:start w:val="1"/>
    </w:lvl>
  </w:abstractNum>
  <w:abstractNum w:abstractNumId="8">
    <w:nsid w:val="6B68079A"/>
    <w:multiLevelType w:val="hybridMultilevel"/>
    <w:lvl w:ilvl="0">
      <w:lvlJc w:val="left"/>
      <w:lvlText w:val=" "/>
      <w:numFmt w:val="bullet"/>
      <w:start w:val="1"/>
    </w:lvl>
  </w:abstractNum>
  <w:abstractNum w:abstractNumId="9">
    <w:nsid w:val="4E6AFB66"/>
    <w:multiLevelType w:val="hybridMultilevel"/>
    <w:lvl w:ilvl="0">
      <w:lvlJc w:val="left"/>
      <w:lvlText w:val=" "/>
      <w:numFmt w:val="bullet"/>
      <w:start w:val="1"/>
    </w:lvl>
  </w:abstractNum>
  <w:abstractNum w:abstractNumId="10">
    <w:nsid w:val="25E45D32"/>
    <w:multiLevelType w:val="hybridMultilevel"/>
    <w:lvl w:ilvl="0">
      <w:lvlJc w:val="left"/>
      <w:lvlText w:val=" "/>
      <w:numFmt w:val="bullet"/>
      <w:start w:val="1"/>
    </w:lvl>
  </w:abstractNum>
  <w:abstractNum w:abstractNumId="11">
    <w:nsid w:val="519B500D"/>
    <w:multiLevelType w:val="hybridMultilevel"/>
    <w:lvl w:ilvl="0">
      <w:lvlJc w:val="left"/>
      <w:lvlText w:val=" "/>
      <w:numFmt w:val="bullet"/>
      <w:start w:val="1"/>
    </w:lvl>
  </w:abstractNum>
  <w:abstractNum w:abstractNumId="12">
    <w:nsid w:val="431BD7B7"/>
    <w:multiLevelType w:val="hybridMultilevel"/>
    <w:lvl w:ilvl="0">
      <w:lvlJc w:val="left"/>
      <w:lvlText w:val=" "/>
      <w:numFmt w:val="bullet"/>
      <w:start w:val="1"/>
    </w:lvl>
  </w:abstractNum>
  <w:abstractNum w:abstractNumId="13">
    <w:nsid w:val="3F2DBA31"/>
    <w:multiLevelType w:val="hybridMultilevel"/>
    <w:lvl w:ilvl="0">
      <w:lvlJc w:val="left"/>
      <w:lvlText w:val=" "/>
      <w:numFmt w:val="bullet"/>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2"/>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66" Type="http://schemas.openxmlformats.org/officeDocument/2006/relationships/hyperlink" Target="http://www.sec.gov/Archives/edgar/data/78128/000155278125000341/e25376_ex2-1.htm" TargetMode="External"/><Relationship Id="rId67" Type="http://schemas.openxmlformats.org/officeDocument/2006/relationships/hyperlink" Target="http://www.sec.gov/Archives/edgar/data/78128/000155278125000248/e25281_wtrg-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2025-11-05T12:59:05Z</dcterms:created>
  <dcterms:modified xsi:type="dcterms:W3CDTF">2025-11-05T12:59:05Z</dcterms:modified>
</cp:coreProperties>
</file>